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02FE5C26" w:rsidR="00322F7B" w:rsidRDefault="00FF6A19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malotraktor s příslušenstvím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0DC58891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19.12.2016, </w:t>
      </w:r>
      <w:r w:rsidR="00574F2D">
        <w:t>rozhodl</w:t>
      </w:r>
      <w:r w:rsidR="00FF6A19">
        <w:t>a</w:t>
      </w:r>
      <w:r w:rsidR="00574F2D">
        <w:t xml:space="preserve"> na základě usnesení </w:t>
      </w:r>
      <w:r w:rsidR="00574F2D" w:rsidRPr="00574F2D">
        <w:rPr>
          <w:b/>
        </w:rPr>
        <w:t>Rady města č.</w:t>
      </w:r>
      <w:r w:rsidR="00574F2D">
        <w:t xml:space="preserve"> </w:t>
      </w:r>
      <w:r w:rsidR="00604B68">
        <w:rPr>
          <w:b/>
        </w:rPr>
        <w:t>450</w:t>
      </w:r>
      <w:r w:rsidR="00137690" w:rsidRPr="00137690">
        <w:rPr>
          <w:b/>
        </w:rPr>
        <w:t>/R</w:t>
      </w:r>
      <w:r w:rsidR="00604B68">
        <w:rPr>
          <w:b/>
        </w:rPr>
        <w:t>17</w:t>
      </w:r>
      <w:r w:rsidR="00137690" w:rsidRPr="00137690">
        <w:rPr>
          <w:b/>
        </w:rPr>
        <w:t>/19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322F7B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1ED35F6B" w14:textId="464577EB" w:rsidR="004A3E36" w:rsidRPr="00E2041F" w:rsidRDefault="00FC3CE3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DC1BC5">
              <w:rPr>
                <w:rFonts w:cs="Arial"/>
                <w:b/>
                <w:sz w:val="24"/>
              </w:rPr>
              <w:t>.</w:t>
            </w:r>
          </w:p>
        </w:tc>
      </w:tr>
      <w:tr w:rsidR="00FF6A19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FF6A19" w:rsidRDefault="00FF6A1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2DF2B4EA" w:rsidR="00FF6A19" w:rsidRDefault="00FF6A1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Dušan </w:t>
            </w:r>
            <w:proofErr w:type="spellStart"/>
            <w:r>
              <w:rPr>
                <w:rFonts w:cs="Arial"/>
                <w:b/>
              </w:rPr>
              <w:t>Mikulička</w:t>
            </w:r>
            <w:proofErr w:type="spellEnd"/>
          </w:p>
        </w:tc>
      </w:tr>
      <w:tr w:rsidR="00FF6A19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FF6A19" w:rsidRDefault="00FF6A1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23BC8F6D" w:rsidR="00FF6A19" w:rsidRPr="00BF406E" w:rsidRDefault="00FF6A19" w:rsidP="00804ECA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Těšovská</w:t>
            </w:r>
            <w:proofErr w:type="spellEnd"/>
            <w:r>
              <w:rPr>
                <w:rFonts w:cs="Arial"/>
              </w:rPr>
              <w:t xml:space="preserve"> 177, 687 34 Uherský Brod - </w:t>
            </w:r>
            <w:proofErr w:type="spellStart"/>
            <w:r>
              <w:rPr>
                <w:rFonts w:cs="Arial"/>
              </w:rPr>
              <w:t>Těšov</w:t>
            </w:r>
            <w:proofErr w:type="spellEnd"/>
          </w:p>
        </w:tc>
      </w:tr>
      <w:tr w:rsidR="00FF6A19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FF6A19" w:rsidRDefault="00FF6A1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985B718" w:rsidR="00FF6A19" w:rsidRPr="00BF406E" w:rsidRDefault="00FF6A19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02781816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4D75A647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Kupní smlouva.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7982C9FC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FF6A19" w:rsidRPr="00FF6A19">
        <w:rPr>
          <w:rFonts w:cs="Arial"/>
          <w:b/>
          <w:bCs/>
        </w:rPr>
        <w:t xml:space="preserve">Dušan </w:t>
      </w:r>
      <w:proofErr w:type="spellStart"/>
      <w:r w:rsidR="00FF6A19" w:rsidRPr="00FF6A19">
        <w:rPr>
          <w:rFonts w:cs="Arial"/>
          <w:b/>
          <w:bCs/>
        </w:rPr>
        <w:t>Mikulička</w:t>
      </w:r>
      <w:proofErr w:type="spellEnd"/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78C710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75797F6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119CDBD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42CD6A72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AF60897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461605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461605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77777777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194AC1A6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2.</w:t>
            </w:r>
          </w:p>
        </w:tc>
      </w:tr>
      <w:tr w:rsidR="00FF6A19" w14:paraId="73C66236" w14:textId="77777777" w:rsidTr="00461605">
        <w:trPr>
          <w:trHeight w:hRule="exact" w:val="397"/>
        </w:trPr>
        <w:tc>
          <w:tcPr>
            <w:tcW w:w="4111" w:type="dxa"/>
            <w:vAlign w:val="center"/>
          </w:tcPr>
          <w:p w14:paraId="26177052" w14:textId="77777777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CCE61" w14:textId="560EC543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EUROGREEN CZ s.r.o.</w:t>
            </w:r>
          </w:p>
        </w:tc>
      </w:tr>
      <w:tr w:rsidR="00FF6A19" w14:paraId="03CAD82F" w14:textId="77777777" w:rsidTr="00461605">
        <w:trPr>
          <w:trHeight w:hRule="exact" w:val="397"/>
        </w:trPr>
        <w:tc>
          <w:tcPr>
            <w:tcW w:w="4111" w:type="dxa"/>
            <w:vAlign w:val="center"/>
          </w:tcPr>
          <w:p w14:paraId="1CB29EF1" w14:textId="77777777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B8837A1" w14:textId="4F8D919E" w:rsidR="00FF6A19" w:rsidRPr="00BF406E" w:rsidRDefault="00FF6A19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Náměstí Jiřího 2, 407 56 Jiřetín pod Jedlovou</w:t>
            </w:r>
          </w:p>
        </w:tc>
      </w:tr>
      <w:tr w:rsidR="00FF6A19" w14:paraId="1A13C75E" w14:textId="77777777" w:rsidTr="00461605">
        <w:trPr>
          <w:trHeight w:hRule="exact" w:val="397"/>
        </w:trPr>
        <w:tc>
          <w:tcPr>
            <w:tcW w:w="4111" w:type="dxa"/>
            <w:vAlign w:val="center"/>
          </w:tcPr>
          <w:p w14:paraId="17D43B7F" w14:textId="77777777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43FB485C" w14:textId="102AF0B6" w:rsidR="00FF6A19" w:rsidRPr="00BF406E" w:rsidRDefault="00FF6A19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64651959</w:t>
            </w:r>
          </w:p>
        </w:tc>
      </w:tr>
    </w:tbl>
    <w:p w14:paraId="03D421BE" w14:textId="77777777" w:rsidR="00FF6A19" w:rsidRDefault="00FF6A19" w:rsidP="00FF6A19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43AC151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DBCB74" w14:textId="7D4B0384" w:rsidR="00F031BC" w:rsidRPr="00576A9A" w:rsidRDefault="00F031BC" w:rsidP="00F031BC">
      <w:pPr>
        <w:jc w:val="both"/>
        <w:rPr>
          <w:rFonts w:cs="Arial"/>
          <w:b/>
          <w:bCs/>
          <w:sz w:val="24"/>
        </w:rPr>
      </w:pPr>
      <w:r w:rsidRPr="00576A9A">
        <w:rPr>
          <w:rFonts w:cs="Arial"/>
          <w:b/>
          <w:bCs/>
          <w:sz w:val="24"/>
        </w:rPr>
        <w:t xml:space="preserve">Rada města pověřuje </w:t>
      </w:r>
      <w:r w:rsidR="00322F7B">
        <w:rPr>
          <w:rFonts w:cs="Arial"/>
          <w:b/>
          <w:bCs/>
          <w:sz w:val="24"/>
        </w:rPr>
        <w:t>ředitele Ing. Bohumíra Gottfrieda</w:t>
      </w:r>
      <w:r w:rsidRPr="00576A9A">
        <w:rPr>
          <w:rFonts w:cs="Arial"/>
          <w:b/>
          <w:bCs/>
          <w:sz w:val="24"/>
        </w:rPr>
        <w:t xml:space="preserve"> podpisem tohoto Rozhodnutí o výběru nejvhodnější nabídky.</w:t>
      </w: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5B888945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200706D7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35BBF18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04B68">
        <w:rPr>
          <w:rFonts w:cs="Arial"/>
          <w:bCs/>
        </w:rPr>
        <w:t>02</w:t>
      </w:r>
      <w:r w:rsidR="00574F2D">
        <w:rPr>
          <w:rFonts w:cs="Arial"/>
          <w:bCs/>
        </w:rPr>
        <w:t>.</w:t>
      </w:r>
      <w:r w:rsidR="00604B68">
        <w:rPr>
          <w:rFonts w:cs="Arial"/>
          <w:bCs/>
        </w:rPr>
        <w:t>05</w:t>
      </w:r>
      <w:bookmarkStart w:id="0" w:name="_GoBack"/>
      <w:bookmarkEnd w:id="0"/>
      <w:r w:rsidR="00574F2D">
        <w:rPr>
          <w:rFonts w:cs="Arial"/>
          <w:bCs/>
        </w:rPr>
        <w:t>.2019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1E6FEABF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68D53D0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36D535C5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E2428E9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41A9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41A9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51146f-d5e6-43b0-96bb-31edae49feae"/>
  </ds:schemaRefs>
</ds:datastoreItem>
</file>

<file path=customXml/itemProps4.xml><?xml version="1.0" encoding="utf-8"?>
<ds:datastoreItem xmlns:ds="http://schemas.openxmlformats.org/officeDocument/2006/customXml" ds:itemID="{7838FFAF-4368-4BC2-8C0F-8629D11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14</cp:revision>
  <cp:lastPrinted>2019-05-02T05:27:00Z</cp:lastPrinted>
  <dcterms:created xsi:type="dcterms:W3CDTF">2019-02-08T06:50:00Z</dcterms:created>
  <dcterms:modified xsi:type="dcterms:W3CDTF">2019-05-02T05:28:00Z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