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2D3FE976"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565C2C6E"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F36DA5">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60F1F4E2"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003E5C">
        <w:rPr>
          <w:rFonts w:ascii="Calibri" w:hAnsi="Calibri" w:cs="Arial"/>
          <w:sz w:val="22"/>
          <w:szCs w:val="22"/>
        </w:rPr>
        <w:t>1</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2D6664F4"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FB659F" w:rsidRPr="00003E5C">
        <w:rPr>
          <w:rFonts w:asciiTheme="minorHAnsi" w:hAnsiTheme="minorHAnsi" w:cs="Arial"/>
          <w:sz w:val="22"/>
          <w:szCs w:val="22"/>
        </w:rPr>
        <w:t>Česká Lípa</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F00C19" w:rsidRPr="00003E5C">
        <w:rPr>
          <w:rFonts w:ascii="Calibri" w:hAnsi="Calibri" w:cs="Arial"/>
          <w:sz w:val="22"/>
          <w:szCs w:val="22"/>
        </w:rPr>
        <w:t xml:space="preserve"> ACO 11, ACO 11+, ACP 16+, ACL 16+ a ACP 22S</w:t>
      </w:r>
      <w:r w:rsidR="007756A8">
        <w:rPr>
          <w:rFonts w:ascii="Calibri" w:hAnsi="Calibri" w:cs="Arial"/>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23FCE3FD" w14:textId="5F44671A" w:rsidR="007756A8" w:rsidRPr="00003E5C" w:rsidRDefault="00CC5792" w:rsidP="00F00C19">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směsi ACO</w:t>
      </w:r>
      <w:r w:rsidR="00F00C19" w:rsidRPr="00003E5C">
        <w:rPr>
          <w:rFonts w:ascii="Calibri" w:hAnsi="Calibri" w:cs="Arial"/>
          <w:sz w:val="22"/>
          <w:szCs w:val="22"/>
        </w:rPr>
        <w:t xml:space="preserve"> 8 a</w:t>
      </w:r>
      <w:r w:rsidRPr="00003E5C">
        <w:rPr>
          <w:rFonts w:ascii="Calibri" w:hAnsi="Calibri" w:cs="Arial"/>
          <w:sz w:val="22"/>
          <w:szCs w:val="22"/>
        </w:rPr>
        <w:t xml:space="preserve"> ACO 11</w:t>
      </w:r>
      <w:r w:rsidR="00F00C19" w:rsidRPr="00003E5C">
        <w:rPr>
          <w:rFonts w:ascii="Calibri" w:hAnsi="Calibri" w:cs="Arial"/>
          <w:sz w:val="22"/>
          <w:szCs w:val="22"/>
        </w:rPr>
        <w:t>, ACO 11+ a ACP 16+</w:t>
      </w:r>
      <w:r w:rsidRPr="00003E5C">
        <w:rPr>
          <w:rFonts w:ascii="Calibri" w:hAnsi="Calibri" w:cs="Arial"/>
          <w:sz w:val="22"/>
          <w:szCs w:val="22"/>
        </w:rPr>
        <w:t xml:space="preserve"> je stanoven na 70/100, resp. 50/70</w:t>
      </w:r>
      <w:r w:rsidR="006B6B3A" w:rsidRPr="00003E5C">
        <w:rPr>
          <w:rFonts w:ascii="Calibri" w:hAnsi="Calibri" w:cs="Arial"/>
          <w:sz w:val="22"/>
          <w:szCs w:val="22"/>
        </w:rPr>
        <w:t>;</w:t>
      </w:r>
    </w:p>
    <w:p w14:paraId="35A9CE69" w14:textId="3D1D426A" w:rsidR="00F00C19" w:rsidRPr="00003E5C" w:rsidRDefault="00F00C19" w:rsidP="00F00C19">
      <w:pPr>
        <w:numPr>
          <w:ilvl w:val="2"/>
          <w:numId w:val="29"/>
        </w:numPr>
        <w:spacing w:after="200" w:line="276" w:lineRule="auto"/>
        <w:ind w:left="1276" w:hanging="709"/>
        <w:jc w:val="both"/>
        <w:rPr>
          <w:rFonts w:cs="Arial"/>
        </w:rPr>
      </w:pPr>
      <w:r w:rsidRPr="00003E5C">
        <w:rPr>
          <w:rFonts w:ascii="Calibri" w:hAnsi="Calibri" w:cs="Arial"/>
          <w:sz w:val="22"/>
          <w:szCs w:val="22"/>
        </w:rPr>
        <w:t>druh asfaltového pojiva pro směsi ACL 16+ a ACP 22S je stanoven na 50/70.</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lastRenderedPageBreak/>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lastRenderedPageBreak/>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Pokud vybraný Dodavatel neposkytne Objednateli potřebnou součinnost k uzavření Kupní smlouvy ani do 10 dní od oznámení výběru, je Objednatel oprávněn vyzvat k uzavření Kupní </w:t>
      </w:r>
      <w:r>
        <w:rPr>
          <w:rFonts w:ascii="Calibri" w:hAnsi="Calibri" w:cs="Arial"/>
          <w:sz w:val="22"/>
          <w:szCs w:val="22"/>
        </w:rPr>
        <w:lastRenderedPageBreak/>
        <w:t>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2302794C" w:rsidR="00B954DE" w:rsidRPr="000305DD" w:rsidRDefault="00B954DE" w:rsidP="00DB2EAD">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Pr="00003E5C">
        <w:rPr>
          <w:rFonts w:asciiTheme="minorHAnsi" w:hAnsiTheme="minorHAnsi" w:cs="Arial"/>
          <w:sz w:val="22"/>
          <w:szCs w:val="22"/>
        </w:rPr>
        <w:t xml:space="preserve">cestmistrovství Česká Lípa) na adrese </w:t>
      </w:r>
      <w:r w:rsidR="00DB2EAD" w:rsidRPr="00003E5C">
        <w:rPr>
          <w:rFonts w:asciiTheme="minorHAnsi" w:hAnsiTheme="minorHAnsi" w:cs="Arial"/>
          <w:sz w:val="22"/>
          <w:szCs w:val="22"/>
        </w:rPr>
        <w:t>Sosnová 97, 470 50 Česká Lípa, GPS souřadnice 50°39'27.713"N 14°32'25.685"E</w:t>
      </w:r>
      <w:r w:rsidR="00A52BD8" w:rsidRPr="00003E5C">
        <w:rPr>
          <w:rFonts w:asciiTheme="minorHAnsi" w:hAnsiTheme="minorHAnsi" w:cs="Calibri"/>
        </w:rPr>
        <w:t>,</w:t>
      </w:r>
      <w:r w:rsidR="00D9447D" w:rsidRPr="000305DD">
        <w:rPr>
          <w:rFonts w:asciiTheme="minorHAnsi" w:hAnsiTheme="minorHAnsi" w:cs="Arial"/>
          <w:sz w:val="22"/>
          <w:szCs w:val="22"/>
        </w:rPr>
        <w:t xml:space="preserve"> </w:t>
      </w:r>
      <w:r w:rsidR="007D0D51">
        <w:rPr>
          <w:rFonts w:asciiTheme="minorHAnsi" w:hAnsiTheme="minorHAns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w:t>
      </w:r>
      <w:r w:rsidR="00D9447D" w:rsidRPr="000305DD">
        <w:rPr>
          <w:rFonts w:ascii="Calibri" w:hAnsi="Calibri" w:cs="Arial"/>
          <w:sz w:val="22"/>
          <w:szCs w:val="22"/>
        </w:rPr>
        <w:lastRenderedPageBreak/>
        <w:t xml:space="preserve">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0305DD">
        <w:rPr>
          <w:rFonts w:cs="Tahoma"/>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4B68D4">
          <w:rPr>
            <w:rStyle w:val="Hypertextovodkaz"/>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7B8CB5D4"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6850A1" w:rsidRPr="00003E5C">
        <w:rPr>
          <w:rFonts w:ascii="Calibri" w:hAnsi="Calibri" w:cs="Arial"/>
          <w:sz w:val="22"/>
          <w:szCs w:val="22"/>
        </w:rPr>
        <w:t>2</w:t>
      </w:r>
      <w:r w:rsidR="00030715" w:rsidRPr="00003E5C">
        <w:rPr>
          <w:rFonts w:ascii="Calibri" w:hAnsi="Calibri" w:cs="Arial"/>
          <w:sz w:val="22"/>
          <w:szCs w:val="22"/>
        </w:rPr>
        <w:t>.000.000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ED9447E" w14:textId="77777777" w:rsidR="00531DEA" w:rsidRPr="00003E5C" w:rsidRDefault="00531DEA" w:rsidP="00531DEA">
      <w:pPr>
        <w:spacing w:after="200" w:line="276" w:lineRule="auto"/>
        <w:ind w:left="1276"/>
        <w:jc w:val="both"/>
        <w:rPr>
          <w:rFonts w:ascii="Calibri" w:hAnsi="Calibri" w:cs="Arial"/>
          <w:sz w:val="22"/>
          <w:szCs w:val="22"/>
        </w:rPr>
      </w:pPr>
      <w:r w:rsidRPr="00003E5C">
        <w:rPr>
          <w:rFonts w:ascii="Calibri" w:hAnsi="Calibri" w:cs="Arial"/>
          <w:sz w:val="22"/>
          <w:szCs w:val="22"/>
        </w:rPr>
        <w:t>Zdeněk Sameš, tel.: +420 602 112 376, e-mail: zdenek.sames@silnicelk.cz</w:t>
      </w:r>
    </w:p>
    <w:p w14:paraId="7025A14A" w14:textId="40FE153B" w:rsidR="00531DEA" w:rsidRPr="000F5371" w:rsidRDefault="00003E5C" w:rsidP="00531DEA">
      <w:pPr>
        <w:spacing w:after="200" w:line="276" w:lineRule="auto"/>
        <w:ind w:left="1276"/>
        <w:jc w:val="both"/>
        <w:rPr>
          <w:rFonts w:ascii="Calibri" w:hAnsi="Calibri" w:cs="Arial"/>
          <w:sz w:val="22"/>
          <w:szCs w:val="22"/>
        </w:rPr>
      </w:pPr>
      <w:r w:rsidRPr="00003E5C">
        <w:rPr>
          <w:rFonts w:ascii="Calibri" w:hAnsi="Calibri" w:cs="Arial"/>
          <w:sz w:val="22"/>
          <w:szCs w:val="22"/>
        </w:rPr>
        <w:t>Hynek Vrabec</w:t>
      </w:r>
      <w:r w:rsidR="00531DEA" w:rsidRPr="00003E5C">
        <w:rPr>
          <w:rFonts w:ascii="Calibri" w:hAnsi="Calibri" w:cs="Arial"/>
          <w:sz w:val="22"/>
          <w:szCs w:val="22"/>
        </w:rPr>
        <w:t>, tel.: +420</w:t>
      </w:r>
      <w:r w:rsidRPr="00003E5C">
        <w:rPr>
          <w:rFonts w:ascii="Calibri" w:hAnsi="Calibri" w:cs="Arial"/>
          <w:sz w:val="22"/>
          <w:szCs w:val="22"/>
        </w:rPr>
        <w:t> 602 112 381</w:t>
      </w:r>
      <w:r w:rsidR="00531DEA" w:rsidRPr="00003E5C">
        <w:rPr>
          <w:rFonts w:ascii="Calibri" w:hAnsi="Calibri" w:cs="Arial"/>
          <w:sz w:val="22"/>
          <w:szCs w:val="22"/>
        </w:rPr>
        <w:t xml:space="preserve">, e-mail: </w:t>
      </w:r>
      <w:r w:rsidRPr="00003E5C">
        <w:rPr>
          <w:rFonts w:ascii="Calibri" w:hAnsi="Calibri" w:cs="Arial"/>
          <w:sz w:val="22"/>
          <w:szCs w:val="22"/>
        </w:rPr>
        <w:t>hynek.vrabec</w:t>
      </w:r>
      <w:r w:rsidR="00531DEA" w:rsidRPr="00003E5C">
        <w:rPr>
          <w:rFonts w:ascii="Calibri" w:hAnsi="Calibri" w:cs="Arial"/>
          <w:sz w:val="22"/>
          <w:szCs w:val="22"/>
        </w:rPr>
        <w:t>@silnicelk.cz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lastRenderedPageBreak/>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bookmarkStart w:id="2" w:name="_GoBack"/>
      <w:bookmarkEnd w:id="2"/>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9BB8" w14:textId="77777777" w:rsidR="009C78DD" w:rsidRDefault="009C78DD" w:rsidP="00FA5255">
      <w:r>
        <w:separator/>
      </w:r>
    </w:p>
  </w:endnote>
  <w:endnote w:type="continuationSeparator" w:id="0">
    <w:p w14:paraId="75856625" w14:textId="77777777" w:rsidR="009C78DD" w:rsidRDefault="009C78DD"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F36DA5">
      <w:rPr>
        <w:rFonts w:ascii="Calibri" w:hAnsi="Calibri" w:cs="Calibri"/>
        <w:b/>
        <w:noProof/>
        <w:sz w:val="22"/>
        <w:szCs w:val="22"/>
      </w:rPr>
      <w:t>8</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F36DA5">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0889" w14:textId="77777777" w:rsidR="009C78DD" w:rsidRDefault="009C78DD" w:rsidP="00FA5255">
      <w:r>
        <w:separator/>
      </w:r>
    </w:p>
  </w:footnote>
  <w:footnote w:type="continuationSeparator" w:id="0">
    <w:p w14:paraId="6800FEBB" w14:textId="77777777" w:rsidR="009C78DD" w:rsidRDefault="009C78DD"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7C91"/>
    <w:rsid w:val="005F00A7"/>
    <w:rsid w:val="00600E8A"/>
    <w:rsid w:val="00601423"/>
    <w:rsid w:val="00605345"/>
    <w:rsid w:val="00621E05"/>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C78DD"/>
    <w:rsid w:val="009E3D4D"/>
    <w:rsid w:val="009F6000"/>
    <w:rsid w:val="00A01DA5"/>
    <w:rsid w:val="00A07105"/>
    <w:rsid w:val="00A230E4"/>
    <w:rsid w:val="00A27403"/>
    <w:rsid w:val="00A30994"/>
    <w:rsid w:val="00A41336"/>
    <w:rsid w:val="00A43C42"/>
    <w:rsid w:val="00A50512"/>
    <w:rsid w:val="00A52BD8"/>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23028"/>
    <w:rsid w:val="00D27BF6"/>
    <w:rsid w:val="00D36C35"/>
    <w:rsid w:val="00D4734D"/>
    <w:rsid w:val="00D84C66"/>
    <w:rsid w:val="00D85787"/>
    <w:rsid w:val="00D92697"/>
    <w:rsid w:val="00D9447D"/>
    <w:rsid w:val="00DB2EAD"/>
    <w:rsid w:val="00DC6CBD"/>
    <w:rsid w:val="00DD52F2"/>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36DA5"/>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5B87-EE7C-4D54-9BD8-9A10A99A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2266</Words>
  <Characters>13371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15606</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4</cp:revision>
  <cp:lastPrinted>2019-03-26T10:48:00Z</cp:lastPrinted>
  <dcterms:created xsi:type="dcterms:W3CDTF">2019-04-26T11:33:00Z</dcterms:created>
  <dcterms:modified xsi:type="dcterms:W3CDTF">2019-04-26T11:57:00Z</dcterms:modified>
</cp:coreProperties>
</file>