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09" w:rsidRPr="00804909" w:rsidRDefault="00804909" w:rsidP="00804909">
      <w:pPr>
        <w:rPr>
          <w:sz w:val="24"/>
          <w:szCs w:val="24"/>
        </w:rPr>
      </w:pPr>
      <w:bookmarkStart w:id="0" w:name="_GoBack"/>
      <w:bookmarkEnd w:id="0"/>
      <w:r w:rsidRPr="00804909">
        <w:rPr>
          <w:sz w:val="24"/>
          <w:szCs w:val="24"/>
        </w:rPr>
        <w:t xml:space="preserve">Smlouva: </w:t>
      </w:r>
      <w:r w:rsidR="00D85905" w:rsidRPr="00D85905">
        <w:rPr>
          <w:sz w:val="24"/>
          <w:szCs w:val="24"/>
        </w:rPr>
        <w:t xml:space="preserve">Kupní smlouva na nákup 3 kusů </w:t>
      </w:r>
      <w:r w:rsidR="002511C4">
        <w:rPr>
          <w:sz w:val="24"/>
          <w:szCs w:val="24"/>
        </w:rPr>
        <w:t xml:space="preserve">nových </w:t>
      </w:r>
      <w:r w:rsidR="00D85905" w:rsidRPr="00D85905">
        <w:rPr>
          <w:sz w:val="24"/>
          <w:szCs w:val="24"/>
        </w:rPr>
        <w:t>minibusů</w:t>
      </w:r>
      <w:r w:rsidR="00AA30D5">
        <w:rPr>
          <w:sz w:val="24"/>
          <w:szCs w:val="24"/>
        </w:rPr>
        <w:t xml:space="preserve"> </w:t>
      </w:r>
      <w:r w:rsidR="00BC3E7C">
        <w:rPr>
          <w:sz w:val="24"/>
          <w:szCs w:val="24"/>
        </w:rPr>
        <w:t xml:space="preserve">na pohon </w:t>
      </w:r>
      <w:r w:rsidR="00AA30D5">
        <w:rPr>
          <w:sz w:val="24"/>
          <w:szCs w:val="24"/>
        </w:rPr>
        <w:t>CNG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kupujícího: DOD2017xxxx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prodávajícího:</w:t>
      </w:r>
    </w:p>
    <w:p w:rsidR="00804909" w:rsidRDefault="00804909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sz w:val="24"/>
          <w:szCs w:val="24"/>
        </w:rPr>
      </w:pPr>
    </w:p>
    <w:p w:rsidR="00804909" w:rsidRDefault="00804909" w:rsidP="00125467">
      <w:pPr>
        <w:tabs>
          <w:tab w:val="left" w:pos="2410"/>
        </w:tabs>
        <w:rPr>
          <w:b/>
          <w:sz w:val="24"/>
          <w:szCs w:val="24"/>
          <w:u w:val="single"/>
        </w:rPr>
      </w:pPr>
    </w:p>
    <w:p w:rsidR="003D00A3" w:rsidRPr="0043417F" w:rsidRDefault="003D00A3" w:rsidP="00125467">
      <w:pPr>
        <w:tabs>
          <w:tab w:val="left" w:pos="2410"/>
        </w:tabs>
        <w:rPr>
          <w:b/>
          <w:sz w:val="24"/>
          <w:szCs w:val="24"/>
        </w:rPr>
      </w:pPr>
      <w:r w:rsidRPr="0043417F">
        <w:rPr>
          <w:b/>
          <w:sz w:val="24"/>
          <w:szCs w:val="24"/>
        </w:rPr>
        <w:t xml:space="preserve">Autorizace </w:t>
      </w:r>
      <w:r w:rsidR="0030071F" w:rsidRPr="0043417F">
        <w:rPr>
          <w:b/>
          <w:sz w:val="24"/>
          <w:szCs w:val="24"/>
        </w:rPr>
        <w:t xml:space="preserve">dle </w:t>
      </w:r>
      <w:r w:rsidR="0095181A">
        <w:rPr>
          <w:b/>
          <w:sz w:val="24"/>
          <w:szCs w:val="24"/>
        </w:rPr>
        <w:t>článku</w:t>
      </w:r>
      <w:r w:rsidR="0095181A" w:rsidRPr="0043417F">
        <w:rPr>
          <w:b/>
          <w:sz w:val="24"/>
          <w:szCs w:val="24"/>
        </w:rPr>
        <w:t xml:space="preserve"> X. </w:t>
      </w:r>
      <w:r w:rsidR="0095181A">
        <w:rPr>
          <w:b/>
          <w:sz w:val="24"/>
          <w:szCs w:val="24"/>
        </w:rPr>
        <w:t>1. písm. h)</w:t>
      </w:r>
      <w:r w:rsidR="0030071F" w:rsidRPr="0043417F">
        <w:rPr>
          <w:b/>
          <w:sz w:val="24"/>
          <w:szCs w:val="24"/>
        </w:rPr>
        <w:t xml:space="preserve"> kupní smlouvy</w:t>
      </w:r>
    </w:p>
    <w:p w:rsidR="003D00A3" w:rsidRPr="005A62F3" w:rsidRDefault="003D00A3">
      <w:pPr>
        <w:rPr>
          <w:sz w:val="24"/>
          <w:szCs w:val="24"/>
        </w:rPr>
      </w:pPr>
    </w:p>
    <w:p w:rsidR="003D00A3" w:rsidRPr="005A62F3" w:rsidRDefault="0030071F" w:rsidP="00D85905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 w:rsidR="00BC70F8">
        <w:rPr>
          <w:sz w:val="24"/>
          <w:szCs w:val="24"/>
        </w:rPr>
        <w:t>K</w:t>
      </w:r>
      <w:r>
        <w:rPr>
          <w:sz w:val="24"/>
          <w:szCs w:val="24"/>
        </w:rPr>
        <w:t>upujícímu</w:t>
      </w:r>
      <w:r w:rsidR="0095181A">
        <w:rPr>
          <w:sz w:val="24"/>
          <w:szCs w:val="24"/>
        </w:rPr>
        <w:t xml:space="preserve"> autorizace</w:t>
      </w:r>
      <w:r w:rsidR="003D00A3" w:rsidRPr="004A3EB7">
        <w:rPr>
          <w:sz w:val="24"/>
          <w:szCs w:val="24"/>
        </w:rPr>
        <w:t xml:space="preserve"> </w:t>
      </w:r>
      <w:r w:rsidRPr="00D85905">
        <w:rPr>
          <w:sz w:val="24"/>
          <w:szCs w:val="24"/>
        </w:rPr>
        <w:t>na provádění záručních oprav, mimozáručních oprav a údržby</w:t>
      </w:r>
      <w:r w:rsidR="006D4D36" w:rsidRPr="00D85905">
        <w:rPr>
          <w:sz w:val="24"/>
          <w:szCs w:val="24"/>
        </w:rPr>
        <w:t xml:space="preserve"> (včetně oprav po nehodách a jiných mimořádných událost</w:t>
      </w:r>
      <w:r w:rsidR="004E384C" w:rsidRPr="00D85905">
        <w:rPr>
          <w:sz w:val="24"/>
          <w:szCs w:val="24"/>
        </w:rPr>
        <w:t>ech</w:t>
      </w:r>
      <w:r w:rsidR="006D4D36" w:rsidRPr="00D85905">
        <w:rPr>
          <w:sz w:val="24"/>
          <w:szCs w:val="24"/>
        </w:rPr>
        <w:t>)</w:t>
      </w:r>
      <w:r w:rsidRPr="004A3EB7">
        <w:rPr>
          <w:sz w:val="24"/>
          <w:szCs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p w:rsidR="003D00A3" w:rsidRPr="005A62F3" w:rsidRDefault="003D00A3">
      <w:pPr>
        <w:jc w:val="both"/>
        <w:rPr>
          <w:sz w:val="24"/>
          <w:szCs w:val="24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2106"/>
        <w:gridCol w:w="4113"/>
        <w:gridCol w:w="1324"/>
        <w:gridCol w:w="2430"/>
        <w:gridCol w:w="3315"/>
      </w:tblGrid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P.č.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1324" w:type="dxa"/>
            <w:vAlign w:val="center"/>
          </w:tcPr>
          <w:p w:rsidR="00D85905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</w:p>
          <w:p w:rsidR="00D85905" w:rsidRPr="005A62F3" w:rsidRDefault="00D85905" w:rsidP="00712B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A202ED" w:rsidRDefault="00D85905">
            <w:pPr>
              <w:jc w:val="center"/>
              <w:rPr>
                <w:b/>
                <w:sz w:val="24"/>
                <w:szCs w:val="24"/>
              </w:rPr>
            </w:pPr>
            <w:r w:rsidRPr="00D85905">
              <w:rPr>
                <w:b/>
                <w:sz w:val="24"/>
                <w:szCs w:val="24"/>
              </w:rPr>
              <w:t>Oprava</w:t>
            </w:r>
            <w:r w:rsidR="001C2B19">
              <w:rPr>
                <w:b/>
                <w:sz w:val="24"/>
                <w:szCs w:val="24"/>
              </w:rPr>
              <w:t xml:space="preserve"> </w:t>
            </w:r>
          </w:p>
          <w:p w:rsidR="00D85905" w:rsidRPr="00D85905" w:rsidRDefault="00A202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1C2B19">
              <w:rPr>
                <w:b/>
                <w:sz w:val="24"/>
                <w:szCs w:val="24"/>
              </w:rPr>
              <w:t>v rozsahu popsaném v d</w:t>
            </w:r>
            <w:r w:rsidR="00D85905" w:rsidRPr="00D85905">
              <w:rPr>
                <w:b/>
                <w:sz w:val="24"/>
                <w:szCs w:val="24"/>
              </w:rPr>
              <w:t>ílenské instrukci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315" w:type="dxa"/>
            <w:vAlign w:val="center"/>
          </w:tcPr>
          <w:p w:rsidR="00A202ED" w:rsidRDefault="00D85905" w:rsidP="001C2B19">
            <w:pPr>
              <w:jc w:val="center"/>
              <w:rPr>
                <w:b/>
                <w:sz w:val="24"/>
                <w:szCs w:val="24"/>
              </w:rPr>
            </w:pPr>
            <w:r w:rsidRPr="00D85905">
              <w:rPr>
                <w:b/>
                <w:sz w:val="24"/>
                <w:szCs w:val="24"/>
              </w:rPr>
              <w:t xml:space="preserve">Údržba </w:t>
            </w:r>
          </w:p>
          <w:p w:rsidR="00D85905" w:rsidRPr="001C2B19" w:rsidRDefault="00A202ED" w:rsidP="001C2B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D85905" w:rsidRPr="00D85905">
              <w:rPr>
                <w:b/>
                <w:sz w:val="24"/>
                <w:szCs w:val="24"/>
              </w:rPr>
              <w:t>v souladu s plánem prohlídek</w:t>
            </w:r>
            <w:r w:rsidR="001C2B19">
              <w:rPr>
                <w:b/>
                <w:sz w:val="24"/>
                <w:szCs w:val="24"/>
              </w:rPr>
              <w:t>, d</w:t>
            </w:r>
            <w:r w:rsidR="00D85905" w:rsidRPr="00D85905">
              <w:rPr>
                <w:b/>
                <w:sz w:val="24"/>
                <w:szCs w:val="24"/>
              </w:rPr>
              <w:t>iagnostika</w:t>
            </w:r>
            <w:r w:rsidR="001C2B19">
              <w:rPr>
                <w:b/>
                <w:sz w:val="24"/>
                <w:szCs w:val="24"/>
              </w:rPr>
              <w:t>, s</w:t>
            </w:r>
            <w:r w:rsidR="00D85905" w:rsidRPr="00D85905">
              <w:rPr>
                <w:b/>
                <w:sz w:val="24"/>
                <w:szCs w:val="24"/>
              </w:rPr>
              <w:t>eřízení</w:t>
            </w:r>
            <w:r w:rsidR="001C2B19">
              <w:rPr>
                <w:b/>
                <w:sz w:val="24"/>
                <w:szCs w:val="24"/>
              </w:rPr>
              <w:t xml:space="preserve"> v souladu s d</w:t>
            </w:r>
            <w:r w:rsidR="00D85905" w:rsidRPr="00D85905">
              <w:rPr>
                <w:b/>
                <w:sz w:val="24"/>
                <w:szCs w:val="24"/>
              </w:rPr>
              <w:t>ílenskou instrukcí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653E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5A62F3">
              <w:rPr>
                <w:sz w:val="24"/>
                <w:szCs w:val="24"/>
              </w:rPr>
              <w:t>ýfukový systém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</w:t>
            </w:r>
            <w:r>
              <w:rPr>
                <w:sz w:val="24"/>
                <w:szCs w:val="24"/>
              </w:rPr>
              <w:t xml:space="preserve"> výfuku</w:t>
            </w:r>
          </w:p>
          <w:p w:rsidR="00D85905" w:rsidRPr="005A62F3" w:rsidRDefault="00D85905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5A62F3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Hydrostatický motor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Hydraulické čerpadlo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:rsidR="00D85905" w:rsidRPr="005A62F3" w:rsidRDefault="00D85905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trHeight w:val="535"/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4.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</w:t>
            </w:r>
            <w:r>
              <w:rPr>
                <w:sz w:val="24"/>
                <w:szCs w:val="24"/>
              </w:rPr>
              <w:t xml:space="preserve"> pérování</w:t>
            </w:r>
            <w:r w:rsidRPr="005A6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(např. </w:t>
            </w:r>
            <w:r w:rsidRPr="005A62F3">
              <w:rPr>
                <w:sz w:val="24"/>
                <w:szCs w:val="24"/>
              </w:rPr>
              <w:t>ECAS</w:t>
            </w:r>
            <w:r>
              <w:rPr>
                <w:sz w:val="24"/>
                <w:szCs w:val="24"/>
              </w:rPr>
              <w:t>)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5.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EBS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:rsidR="00D85905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Brzdové obložení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Brzdové třmeny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trHeight w:val="624"/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7.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Kompletní kolo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8.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9.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Akumulátory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:rsidR="00D85905" w:rsidRPr="005A62F3" w:rsidRDefault="00D85905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10.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11.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</w:t>
            </w:r>
            <w:r>
              <w:rPr>
                <w:sz w:val="24"/>
                <w:szCs w:val="24"/>
              </w:rPr>
              <w:t>í karoserie</w:t>
            </w:r>
          </w:p>
          <w:p w:rsidR="00D85905" w:rsidRPr="005A62F3" w:rsidRDefault="00D85905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12.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Nezávislé topení (s vodním čerpadlem)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13.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14.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trHeight w:val="439"/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Kloubový mechanismus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Kloubový mechanismus</w:t>
            </w:r>
            <w:r>
              <w:rPr>
                <w:sz w:val="24"/>
                <w:szCs w:val="24"/>
              </w:rPr>
              <w:t xml:space="preserve"> točny</w:t>
            </w:r>
          </w:p>
        </w:tc>
        <w:tc>
          <w:tcPr>
            <w:tcW w:w="1324" w:type="dxa"/>
            <w:vAlign w:val="center"/>
          </w:tcPr>
          <w:p w:rsidR="00D85905" w:rsidRPr="00C247F3" w:rsidRDefault="00D85905" w:rsidP="00227DD7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Motor</w:t>
            </w:r>
            <w:r>
              <w:rPr>
                <w:sz w:val="24"/>
                <w:szCs w:val="24"/>
              </w:rPr>
              <w:t>ová část</w:t>
            </w:r>
          </w:p>
        </w:tc>
        <w:tc>
          <w:tcPr>
            <w:tcW w:w="4113" w:type="dxa"/>
          </w:tcPr>
          <w:p w:rsidR="00D85905" w:rsidRDefault="00D85905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Kompresor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Alternátor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Startér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Palivový systém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Vodní pumpa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  <w:p w:rsidR="00D85905" w:rsidRPr="004E384C" w:rsidRDefault="00D85905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Vzduchový filtr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4E384C">
              <w:rPr>
                <w:sz w:val="24"/>
                <w:szCs w:val="24"/>
              </w:rPr>
              <w:t>Měření emisí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30" w:type="dxa"/>
            <w:vAlign w:val="center"/>
          </w:tcPr>
          <w:p w:rsidR="00D85905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Převodovka 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Převodovka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Vlečená náprava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Vlečená náprava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BD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>provádění záručních oprav, mimozáručních oprav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lastRenderedPageBreak/>
        <w:t>Rozsah udělené autorizace je závislý na: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:rsidR="005A62F3" w:rsidRDefault="005A62F3">
      <w:pPr>
        <w:jc w:val="both"/>
        <w:rPr>
          <w:b/>
          <w:sz w:val="24"/>
          <w:szCs w:val="24"/>
          <w:u w:val="single"/>
        </w:rPr>
      </w:pPr>
    </w:p>
    <w:p w:rsidR="004A3EB7" w:rsidRPr="004A3EB7" w:rsidRDefault="004A3EB7" w:rsidP="004A3EB7">
      <w:pPr>
        <w:jc w:val="both"/>
        <w:rPr>
          <w:b/>
          <w:sz w:val="24"/>
          <w:szCs w:val="24"/>
          <w:u w:val="single"/>
        </w:rPr>
      </w:pPr>
      <w:r w:rsidRPr="004A3EB7">
        <w:rPr>
          <w:b/>
          <w:sz w:val="24"/>
          <w:szCs w:val="24"/>
          <w:u w:val="single"/>
        </w:rPr>
        <w:t>VYSVĚTLIVKY:</w:t>
      </w:r>
    </w:p>
    <w:p w:rsidR="008C7CA0" w:rsidRDefault="008C7CA0">
      <w:pPr>
        <w:jc w:val="both"/>
        <w:rPr>
          <w:sz w:val="24"/>
          <w:szCs w:val="24"/>
        </w:rPr>
      </w:pPr>
    </w:p>
    <w:p w:rsidR="008C7CA0" w:rsidRDefault="008C7CA0">
      <w:pPr>
        <w:jc w:val="both"/>
        <w:rPr>
          <w:i/>
          <w:color w:val="0070C0"/>
          <w:sz w:val="24"/>
          <w:szCs w:val="24"/>
        </w:rPr>
      </w:pPr>
      <w:r>
        <w:rPr>
          <w:sz w:val="24"/>
          <w:szCs w:val="24"/>
        </w:rPr>
        <w:t xml:space="preserve">Plná autorizace </w:t>
      </w:r>
      <w:r w:rsidR="008125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85905">
        <w:rPr>
          <w:sz w:val="24"/>
          <w:szCs w:val="24"/>
        </w:rPr>
        <w:t>provádění záručn</w:t>
      </w:r>
      <w:r w:rsidR="00A959E5">
        <w:rPr>
          <w:sz w:val="24"/>
          <w:szCs w:val="24"/>
        </w:rPr>
        <w:t>ích oprav, mimozáručních oprav a údržby</w:t>
      </w:r>
      <w:r w:rsidR="004B2807" w:rsidRPr="00D85905">
        <w:rPr>
          <w:sz w:val="24"/>
          <w:szCs w:val="24"/>
        </w:rPr>
        <w:t xml:space="preserve"> (včetně oprav po nehodách a jiných mimořádných událostech)</w:t>
      </w:r>
      <w:r w:rsidR="00A959E5">
        <w:rPr>
          <w:sz w:val="24"/>
          <w:szCs w:val="24"/>
        </w:rPr>
        <w:t>.</w:t>
      </w:r>
      <w:r w:rsidR="004B2807">
        <w:rPr>
          <w:sz w:val="24"/>
          <w:szCs w:val="24"/>
        </w:rPr>
        <w:t xml:space="preserve"> </w:t>
      </w:r>
      <w:r w:rsidR="004854C1" w:rsidRPr="004A3EB7">
        <w:rPr>
          <w:i/>
          <w:color w:val="0070C0"/>
          <w:sz w:val="24"/>
          <w:szCs w:val="24"/>
        </w:rPr>
        <w:t xml:space="preserve">(POZN.: doplní </w:t>
      </w:r>
      <w:r w:rsidR="004854C1">
        <w:rPr>
          <w:i/>
          <w:color w:val="0070C0"/>
          <w:sz w:val="24"/>
          <w:szCs w:val="24"/>
        </w:rPr>
        <w:t>dodavatel</w:t>
      </w:r>
      <w:r w:rsidR="004854C1" w:rsidRPr="004A3EB7">
        <w:rPr>
          <w:i/>
          <w:color w:val="0070C0"/>
          <w:sz w:val="24"/>
          <w:szCs w:val="24"/>
        </w:rPr>
        <w:t>)</w:t>
      </w:r>
    </w:p>
    <w:p w:rsidR="008125BB" w:rsidRDefault="008125BB">
      <w:pPr>
        <w:jc w:val="both"/>
        <w:rPr>
          <w:sz w:val="24"/>
          <w:szCs w:val="24"/>
        </w:rPr>
      </w:pPr>
      <w:r w:rsidRPr="008125BB">
        <w:rPr>
          <w:sz w:val="24"/>
          <w:szCs w:val="24"/>
        </w:rPr>
        <w:t xml:space="preserve">Měření emisí – požadujeme </w:t>
      </w:r>
      <w:r>
        <w:rPr>
          <w:sz w:val="24"/>
          <w:szCs w:val="24"/>
        </w:rPr>
        <w:t xml:space="preserve">písemné </w:t>
      </w:r>
      <w:r w:rsidRPr="008125BB">
        <w:rPr>
          <w:sz w:val="24"/>
          <w:szCs w:val="24"/>
        </w:rPr>
        <w:t>pověření výrobce k provádění měření emisí na daný typ minibusů</w:t>
      </w:r>
      <w:r>
        <w:rPr>
          <w:sz w:val="24"/>
          <w:szCs w:val="24"/>
        </w:rPr>
        <w:t xml:space="preserve"> (POZN. p.č.20)</w:t>
      </w:r>
    </w:p>
    <w:p w:rsidR="004A3EB7" w:rsidRDefault="00D85905">
      <w:pPr>
        <w:jc w:val="both"/>
        <w:rPr>
          <w:sz w:val="24"/>
          <w:szCs w:val="24"/>
        </w:rPr>
      </w:pPr>
      <w:r>
        <w:rPr>
          <w:sz w:val="24"/>
          <w:szCs w:val="24"/>
        </w:rPr>
        <w:t>X – pevný požadavek K</w:t>
      </w:r>
      <w:r w:rsidR="004A3EB7">
        <w:rPr>
          <w:sz w:val="24"/>
          <w:szCs w:val="24"/>
        </w:rPr>
        <w:t>upujícího na poskytnutí autorizace</w:t>
      </w:r>
      <w:r w:rsidR="008C7CA0">
        <w:rPr>
          <w:sz w:val="24"/>
          <w:szCs w:val="24"/>
        </w:rPr>
        <w:t>.</w:t>
      </w:r>
    </w:p>
    <w:p w:rsidR="004A3EB7" w:rsidRPr="004A3EB7" w:rsidRDefault="0023094C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</w:t>
      </w:r>
      <w:r w:rsidR="004A3EB7">
        <w:rPr>
          <w:sz w:val="24"/>
          <w:szCs w:val="24"/>
        </w:rPr>
        <w:t>rodávajícím</w:t>
      </w:r>
      <w:r w:rsidR="004A3EB7" w:rsidRPr="004A3EB7">
        <w:rPr>
          <w:sz w:val="24"/>
          <w:szCs w:val="24"/>
        </w:rPr>
        <w:t xml:space="preserve"> </w:t>
      </w:r>
      <w:r w:rsidR="004A3EB7">
        <w:rPr>
          <w:sz w:val="24"/>
          <w:szCs w:val="24"/>
        </w:rPr>
        <w:t>udělená</w:t>
      </w:r>
      <w:r w:rsidR="008C7CA0">
        <w:rPr>
          <w:sz w:val="24"/>
          <w:szCs w:val="24"/>
        </w:rPr>
        <w:t>.</w:t>
      </w:r>
      <w:r w:rsidR="004A3EB7">
        <w:rPr>
          <w:sz w:val="24"/>
          <w:szCs w:val="24"/>
        </w:rPr>
        <w:t xml:space="preserve"> </w:t>
      </w:r>
      <w:r w:rsidR="004A3EB7"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="004A3EB7" w:rsidRPr="004A3EB7">
        <w:rPr>
          <w:i/>
          <w:color w:val="0070C0"/>
          <w:sz w:val="24"/>
          <w:szCs w:val="24"/>
        </w:rPr>
        <w:t>)</w:t>
      </w:r>
    </w:p>
    <w:p w:rsidR="008C7CA0" w:rsidRPr="008C7CA0" w:rsidRDefault="0023094C">
      <w:pPr>
        <w:jc w:val="both"/>
        <w:rPr>
          <w:i/>
          <w:color w:val="0070C0"/>
          <w:sz w:val="24"/>
          <w:szCs w:val="24"/>
        </w:rPr>
      </w:pPr>
      <w:r>
        <w:rPr>
          <w:sz w:val="24"/>
          <w:szCs w:val="24"/>
        </w:rPr>
        <w:t>NE – autorizace P</w:t>
      </w:r>
      <w:r w:rsidR="004A3EB7">
        <w:rPr>
          <w:sz w:val="24"/>
          <w:szCs w:val="24"/>
        </w:rPr>
        <w:t>rodávajícím</w:t>
      </w:r>
      <w:r w:rsidR="004A3EB7" w:rsidRPr="004A3EB7">
        <w:rPr>
          <w:sz w:val="24"/>
          <w:szCs w:val="24"/>
        </w:rPr>
        <w:t xml:space="preserve"> </w:t>
      </w:r>
      <w:r w:rsidR="004A3EB7">
        <w:rPr>
          <w:sz w:val="24"/>
          <w:szCs w:val="24"/>
        </w:rPr>
        <w:t>neudělená</w:t>
      </w:r>
      <w:r w:rsidR="008C7CA0">
        <w:rPr>
          <w:sz w:val="24"/>
          <w:szCs w:val="24"/>
        </w:rPr>
        <w:t>.</w:t>
      </w:r>
      <w:r w:rsidR="004A3EB7">
        <w:rPr>
          <w:sz w:val="24"/>
          <w:szCs w:val="24"/>
        </w:rPr>
        <w:t xml:space="preserve"> </w:t>
      </w:r>
      <w:r w:rsidR="004A3EB7"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="004A3EB7" w:rsidRPr="004A3EB7">
        <w:rPr>
          <w:i/>
          <w:color w:val="0070C0"/>
          <w:sz w:val="24"/>
          <w:szCs w:val="24"/>
        </w:rPr>
        <w:t>)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Kupujícího:</w:t>
      </w:r>
      <w:r w:rsidRPr="0031285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</w:t>
      </w:r>
      <w:r>
        <w:rPr>
          <w:sz w:val="24"/>
          <w:szCs w:val="24"/>
        </w:rPr>
        <w:t>rodávajícího</w:t>
      </w:r>
      <w:r>
        <w:rPr>
          <w:color w:val="000000"/>
          <w:sz w:val="24"/>
          <w:szCs w:val="24"/>
        </w:rPr>
        <w:t>:</w:t>
      </w: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sz w:val="24"/>
          <w:szCs w:val="24"/>
        </w:rPr>
        <w:t>V Ostravě dne</w:t>
      </w:r>
      <w: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V..…………..dne</w:t>
      </w:r>
      <w: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804909" w:rsidRDefault="00804909" w:rsidP="00804909">
      <w:pPr>
        <w:tabs>
          <w:tab w:val="left" w:pos="5580"/>
        </w:tabs>
        <w:ind w:left="426"/>
      </w:pPr>
    </w:p>
    <w:p w:rsidR="00804909" w:rsidRDefault="00804909" w:rsidP="00804909">
      <w:pPr>
        <w:tabs>
          <w:tab w:val="left" w:pos="5580"/>
        </w:tabs>
        <w:ind w:left="426"/>
      </w:pPr>
    </w:p>
    <w:p w:rsidR="00804909" w:rsidRDefault="00804909" w:rsidP="00804909">
      <w:pPr>
        <w:widowControl w:val="0"/>
        <w:spacing w:line="240" w:lineRule="atLeast"/>
        <w:ind w:firstLine="426"/>
        <w:rPr>
          <w:snapToGrid w:val="0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………..………………………………..</w:t>
      </w:r>
    </w:p>
    <w:p w:rsidR="003D00A3" w:rsidRPr="005A62F3" w:rsidRDefault="003D00A3">
      <w:pPr>
        <w:rPr>
          <w:sz w:val="24"/>
          <w:szCs w:val="24"/>
        </w:rPr>
      </w:pPr>
      <w:r w:rsidRPr="005A62F3">
        <w:rPr>
          <w:sz w:val="24"/>
          <w:szCs w:val="24"/>
        </w:rPr>
        <w:t xml:space="preserve">        </w:t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p w:rsidR="003D00A3" w:rsidRPr="005A62F3" w:rsidRDefault="003D00A3">
      <w:pPr>
        <w:jc w:val="both"/>
        <w:rPr>
          <w:sz w:val="24"/>
          <w:szCs w:val="24"/>
        </w:rPr>
      </w:pP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sectPr w:rsidR="003D00A3" w:rsidRPr="005A62F3" w:rsidSect="005A62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5BB" w:rsidRDefault="008125BB">
      <w:r>
        <w:separator/>
      </w:r>
    </w:p>
  </w:endnote>
  <w:endnote w:type="continuationSeparator" w:id="0">
    <w:p w:rsidR="008125BB" w:rsidRDefault="0081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B" w:rsidRDefault="004911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25B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25BB" w:rsidRDefault="008125B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B" w:rsidRDefault="008125BB">
    <w:pPr>
      <w:pStyle w:val="Zpat"/>
      <w:jc w:val="right"/>
      <w:rPr>
        <w:i/>
        <w:sz w:val="22"/>
        <w:szCs w:val="22"/>
      </w:rPr>
    </w:pPr>
  </w:p>
  <w:p w:rsidR="008125BB" w:rsidRDefault="008125BB">
    <w:pPr>
      <w:pStyle w:val="Zpat"/>
      <w:jc w:val="right"/>
      <w:rPr>
        <w:i/>
        <w:sz w:val="22"/>
        <w:szCs w:val="22"/>
      </w:rPr>
    </w:pPr>
  </w:p>
  <w:p w:rsidR="008125BB" w:rsidRDefault="008125BB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4911CF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4911CF" w:rsidRPr="005A62F3">
      <w:rPr>
        <w:i/>
        <w:sz w:val="22"/>
        <w:szCs w:val="22"/>
      </w:rPr>
      <w:fldChar w:fldCharType="separate"/>
    </w:r>
    <w:r w:rsidR="00F26604">
      <w:rPr>
        <w:i/>
        <w:noProof/>
        <w:sz w:val="22"/>
        <w:szCs w:val="22"/>
      </w:rPr>
      <w:t>2</w:t>
    </w:r>
    <w:r w:rsidR="004911CF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4911CF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4911CF" w:rsidRPr="005A62F3">
      <w:rPr>
        <w:i/>
        <w:sz w:val="22"/>
        <w:szCs w:val="22"/>
      </w:rPr>
      <w:fldChar w:fldCharType="separate"/>
    </w:r>
    <w:r w:rsidR="00F26604">
      <w:rPr>
        <w:i/>
        <w:noProof/>
        <w:sz w:val="22"/>
        <w:szCs w:val="22"/>
      </w:rPr>
      <w:t>4</w:t>
    </w:r>
    <w:r w:rsidR="004911CF" w:rsidRPr="005A62F3">
      <w:rPr>
        <w:i/>
        <w:sz w:val="22"/>
        <w:szCs w:val="22"/>
      </w:rPr>
      <w:fldChar w:fldCharType="end"/>
    </w:r>
  </w:p>
  <w:p w:rsidR="008125BB" w:rsidRDefault="008125BB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5BB" w:rsidRDefault="008125BB">
      <w:r>
        <w:separator/>
      </w:r>
    </w:p>
  </w:footnote>
  <w:footnote w:type="continuationSeparator" w:id="0">
    <w:p w:rsidR="008125BB" w:rsidRDefault="00812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B" w:rsidRDefault="004911C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25B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25BB" w:rsidRDefault="008125BB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B" w:rsidRDefault="008125BB">
    <w:pPr>
      <w:pStyle w:val="Zhlav"/>
      <w:framePr w:wrap="around" w:vAnchor="text" w:hAnchor="margin" w:xAlign="right" w:y="1"/>
      <w:rPr>
        <w:rStyle w:val="slostrnky"/>
      </w:rPr>
    </w:pPr>
  </w:p>
  <w:p w:rsidR="00307659" w:rsidRDefault="00307659" w:rsidP="00307659">
    <w:pPr>
      <w:pStyle w:val="Zhlav"/>
      <w:rPr>
        <w:i/>
        <w:noProof/>
        <w:sz w:val="22"/>
        <w:szCs w:val="22"/>
      </w:rPr>
    </w:pPr>
    <w:r w:rsidRPr="00C161F8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10</w:t>
    </w:r>
    <w:r w:rsidRPr="00C161F8">
      <w:rPr>
        <w:i/>
        <w:sz w:val="22"/>
        <w:szCs w:val="22"/>
      </w:rPr>
      <w:t xml:space="preserve"> zadávací dokumentace</w:t>
    </w:r>
  </w:p>
  <w:p w:rsidR="00307659" w:rsidRPr="0061364C" w:rsidRDefault="00307659" w:rsidP="00307659">
    <w:pPr>
      <w:pStyle w:val="Zhlav"/>
      <w:tabs>
        <w:tab w:val="clear" w:pos="4536"/>
        <w:tab w:val="clear" w:pos="9072"/>
      </w:tabs>
      <w:ind w:right="360"/>
      <w:rPr>
        <w:i/>
        <w:noProof/>
        <w:sz w:val="22"/>
        <w:szCs w:val="22"/>
      </w:rPr>
    </w:pPr>
    <w:r w:rsidRPr="006C2453">
      <w:rPr>
        <w:i/>
        <w:noProof/>
        <w:sz w:val="22"/>
        <w:szCs w:val="22"/>
      </w:rPr>
      <w:t xml:space="preserve">Příloha č. </w:t>
    </w:r>
    <w:r>
      <w:rPr>
        <w:i/>
        <w:noProof/>
        <w:sz w:val="22"/>
        <w:szCs w:val="22"/>
      </w:rPr>
      <w:t xml:space="preserve">8 smlouvy </w:t>
    </w:r>
    <w:r w:rsidRPr="006C2453">
      <w:rPr>
        <w:i/>
        <w:noProof/>
        <w:sz w:val="22"/>
        <w:szCs w:val="22"/>
      </w:rPr>
      <w:t xml:space="preserve"> – </w:t>
    </w:r>
    <w:r>
      <w:rPr>
        <w:i/>
        <w:noProof/>
        <w:sz w:val="22"/>
        <w:szCs w:val="22"/>
      </w:rPr>
      <w:t>Rozsah autorizace</w:t>
    </w:r>
    <w:r w:rsidDel="00A3419C">
      <w:rPr>
        <w:noProof/>
        <w:sz w:val="24"/>
        <w:szCs w:val="24"/>
      </w:rPr>
      <w:t xml:space="preserve"> </w:t>
    </w:r>
  </w:p>
  <w:p w:rsidR="008125BB" w:rsidRPr="005A62F3" w:rsidRDefault="008125BB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 w15:restartNumberingAfterBreak="0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5664CA"/>
    <w:multiLevelType w:val="hybridMultilevel"/>
    <w:tmpl w:val="4288C3A8"/>
    <w:lvl w:ilvl="0" w:tplc="43569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0C"/>
    <w:rsid w:val="000326C1"/>
    <w:rsid w:val="0008001D"/>
    <w:rsid w:val="000F5F0C"/>
    <w:rsid w:val="000F6706"/>
    <w:rsid w:val="0010375B"/>
    <w:rsid w:val="00125467"/>
    <w:rsid w:val="00152533"/>
    <w:rsid w:val="00164833"/>
    <w:rsid w:val="00176046"/>
    <w:rsid w:val="001C2B19"/>
    <w:rsid w:val="001C324D"/>
    <w:rsid w:val="00227DD7"/>
    <w:rsid w:val="0023094C"/>
    <w:rsid w:val="002511C4"/>
    <w:rsid w:val="002941D4"/>
    <w:rsid w:val="002955A2"/>
    <w:rsid w:val="002B6145"/>
    <w:rsid w:val="002C1FD0"/>
    <w:rsid w:val="002F5E89"/>
    <w:rsid w:val="0030071F"/>
    <w:rsid w:val="00304B52"/>
    <w:rsid w:val="003067FA"/>
    <w:rsid w:val="00307659"/>
    <w:rsid w:val="00307A73"/>
    <w:rsid w:val="003468DF"/>
    <w:rsid w:val="003B5282"/>
    <w:rsid w:val="003D00A3"/>
    <w:rsid w:val="003D4D34"/>
    <w:rsid w:val="003E5044"/>
    <w:rsid w:val="00414A57"/>
    <w:rsid w:val="00430674"/>
    <w:rsid w:val="00431042"/>
    <w:rsid w:val="00431A0D"/>
    <w:rsid w:val="0043417F"/>
    <w:rsid w:val="004854C1"/>
    <w:rsid w:val="004911CF"/>
    <w:rsid w:val="004A3EB7"/>
    <w:rsid w:val="004B2807"/>
    <w:rsid w:val="004E384C"/>
    <w:rsid w:val="00515F15"/>
    <w:rsid w:val="00524A7B"/>
    <w:rsid w:val="00546E91"/>
    <w:rsid w:val="0056336A"/>
    <w:rsid w:val="00573697"/>
    <w:rsid w:val="005860FD"/>
    <w:rsid w:val="005A62F3"/>
    <w:rsid w:val="005C5353"/>
    <w:rsid w:val="005C70DA"/>
    <w:rsid w:val="00612589"/>
    <w:rsid w:val="00653EE8"/>
    <w:rsid w:val="006754B2"/>
    <w:rsid w:val="006944E6"/>
    <w:rsid w:val="00697951"/>
    <w:rsid w:val="006D3C70"/>
    <w:rsid w:val="006D4D36"/>
    <w:rsid w:val="006F4D88"/>
    <w:rsid w:val="00707125"/>
    <w:rsid w:val="00712B9F"/>
    <w:rsid w:val="00715ABA"/>
    <w:rsid w:val="00724159"/>
    <w:rsid w:val="00734000"/>
    <w:rsid w:val="007372A6"/>
    <w:rsid w:val="00761C64"/>
    <w:rsid w:val="00780565"/>
    <w:rsid w:val="00782756"/>
    <w:rsid w:val="007B3BED"/>
    <w:rsid w:val="00804909"/>
    <w:rsid w:val="008125BB"/>
    <w:rsid w:val="008469E0"/>
    <w:rsid w:val="00880137"/>
    <w:rsid w:val="00883C95"/>
    <w:rsid w:val="008939F8"/>
    <w:rsid w:val="00896D3D"/>
    <w:rsid w:val="008C7CA0"/>
    <w:rsid w:val="0095181A"/>
    <w:rsid w:val="009D1CE2"/>
    <w:rsid w:val="009E55FE"/>
    <w:rsid w:val="009F5EBD"/>
    <w:rsid w:val="00A202ED"/>
    <w:rsid w:val="00A75650"/>
    <w:rsid w:val="00A959E5"/>
    <w:rsid w:val="00AA23E1"/>
    <w:rsid w:val="00AA30D5"/>
    <w:rsid w:val="00AC2E44"/>
    <w:rsid w:val="00AD6A92"/>
    <w:rsid w:val="00AF5F4D"/>
    <w:rsid w:val="00B76269"/>
    <w:rsid w:val="00B81894"/>
    <w:rsid w:val="00B83E3D"/>
    <w:rsid w:val="00BA5E2C"/>
    <w:rsid w:val="00BB1796"/>
    <w:rsid w:val="00BC3E7C"/>
    <w:rsid w:val="00BC70F8"/>
    <w:rsid w:val="00BD6027"/>
    <w:rsid w:val="00BD760A"/>
    <w:rsid w:val="00C04CD0"/>
    <w:rsid w:val="00C130F8"/>
    <w:rsid w:val="00C21218"/>
    <w:rsid w:val="00C247F3"/>
    <w:rsid w:val="00C56F45"/>
    <w:rsid w:val="00CE013A"/>
    <w:rsid w:val="00D118DC"/>
    <w:rsid w:val="00D309E8"/>
    <w:rsid w:val="00D82B97"/>
    <w:rsid w:val="00D85905"/>
    <w:rsid w:val="00D9262C"/>
    <w:rsid w:val="00DA4C50"/>
    <w:rsid w:val="00DA6719"/>
    <w:rsid w:val="00DB7FDA"/>
    <w:rsid w:val="00DD04BA"/>
    <w:rsid w:val="00DD2010"/>
    <w:rsid w:val="00DF418E"/>
    <w:rsid w:val="00E26D82"/>
    <w:rsid w:val="00E34B67"/>
    <w:rsid w:val="00E53A89"/>
    <w:rsid w:val="00E6668B"/>
    <w:rsid w:val="00E8763A"/>
    <w:rsid w:val="00EC5D04"/>
    <w:rsid w:val="00EF202B"/>
    <w:rsid w:val="00F26604"/>
    <w:rsid w:val="00F82E61"/>
    <w:rsid w:val="00F90322"/>
    <w:rsid w:val="00FA5161"/>
    <w:rsid w:val="00FB7420"/>
    <w:rsid w:val="00FC51D0"/>
    <w:rsid w:val="00FD4990"/>
    <w:rsid w:val="00FE3013"/>
    <w:rsid w:val="00FE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944829A8-CFD9-45C7-904B-D8DED15F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link w:val="ZhlavChar"/>
    <w:uiPriority w:val="99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lo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307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218E12-1669-480D-BAAD-4C7A8C20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481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Ondrůšková Alexandra</cp:lastModifiedBy>
  <cp:revision>2</cp:revision>
  <cp:lastPrinted>2017-01-26T10:09:00Z</cp:lastPrinted>
  <dcterms:created xsi:type="dcterms:W3CDTF">2019-04-11T12:00:00Z</dcterms:created>
  <dcterms:modified xsi:type="dcterms:W3CDTF">2019-04-11T12:00:00Z</dcterms:modified>
</cp:coreProperties>
</file>