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bookmarkStart w:id="0" w:name="_GoBack"/>
      <w:bookmarkEnd w:id="0"/>
    </w:p>
    <w:p w:rsidR="00FF054E" w:rsidRPr="00517BA4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  <w:sz w:val="28"/>
        </w:rPr>
      </w:pPr>
      <w:r w:rsidRPr="00517BA4">
        <w:rPr>
          <w:rFonts w:ascii="Times New Roman" w:hAnsi="Times New Roman" w:cs="Times New Roman"/>
          <w:b w:val="0"/>
          <w:i w:val="0"/>
        </w:rPr>
        <w:t>Příloha č.</w:t>
      </w:r>
      <w:r w:rsidR="001D5E8B" w:rsidRPr="00517BA4">
        <w:rPr>
          <w:rFonts w:ascii="Times New Roman" w:hAnsi="Times New Roman" w:cs="Times New Roman"/>
          <w:b w:val="0"/>
          <w:i w:val="0"/>
        </w:rPr>
        <w:t xml:space="preserve"> </w:t>
      </w:r>
      <w:r w:rsidR="00C23B46">
        <w:rPr>
          <w:rFonts w:ascii="Times New Roman" w:hAnsi="Times New Roman" w:cs="Times New Roman"/>
          <w:b w:val="0"/>
          <w:i w:val="0"/>
        </w:rPr>
        <w:t>9</w:t>
      </w:r>
      <w:r w:rsidR="00055BFB" w:rsidRPr="00517BA4">
        <w:rPr>
          <w:rFonts w:ascii="Times New Roman" w:hAnsi="Times New Roman" w:cs="Times New Roman"/>
          <w:b w:val="0"/>
          <w:i w:val="0"/>
        </w:rPr>
        <w:t xml:space="preserve"> zadávací dokumentace</w:t>
      </w:r>
    </w:p>
    <w:p w:rsidR="00517BA4" w:rsidRDefault="00517BA4" w:rsidP="00517BA4">
      <w:pPr>
        <w:jc w:val="center"/>
      </w:pPr>
    </w:p>
    <w:p w:rsidR="00FF054E" w:rsidRPr="00517BA4" w:rsidRDefault="004271EA" w:rsidP="00517BA4">
      <w:pPr>
        <w:jc w:val="center"/>
        <w:rPr>
          <w:b/>
          <w:sz w:val="28"/>
          <w:szCs w:val="28"/>
        </w:rPr>
      </w:pPr>
      <w:r w:rsidRPr="00517BA4">
        <w:rPr>
          <w:b/>
        </w:rPr>
        <w:t>POŽADAVKY NA ELEKTRONICKOU KOMUNIKACI</w:t>
      </w: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V případě, že registrační formulář vyplňuje osoba oprávněná jednat za organizaci na základě plné moci, je povinna tuto plnou moc doložit. V případě, že registrační formulář vyplňuje osoba, </w:t>
      </w:r>
      <w:r w:rsidRPr="00DA5F20">
        <w:rPr>
          <w:sz w:val="22"/>
          <w:szCs w:val="22"/>
        </w:rPr>
        <w:lastRenderedPageBreak/>
        <w:t>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517BA4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6F3761" wp14:editId="24AC73A9">
          <wp:simplePos x="0" y="0"/>
          <wp:positionH relativeFrom="margin">
            <wp:posOffset>3533775</wp:posOffset>
          </wp:positionH>
          <wp:positionV relativeFrom="page">
            <wp:posOffset>315595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83524B8" wp14:editId="39CE9537">
          <wp:simplePos x="0" y="0"/>
          <wp:positionH relativeFrom="page">
            <wp:posOffset>899795</wp:posOffset>
          </wp:positionH>
          <wp:positionV relativeFrom="page">
            <wp:posOffset>315595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/VKB1F9dQ2Ys4moCX+m0zZ/z5A0pQNkx9QRYkcAVz+wbBC2MMv9HReShwjCAp7L8WWB6Q6+XmLC4sTCDpn3kHQ==" w:salt="NbHiM9czZGz6Brh+aEGu6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00365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23B46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1715</Words>
  <Characters>10121</Characters>
  <Application>Microsoft Office Word</Application>
  <DocSecurity>8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2018-08-23T21:07:00Z</dcterms:created>
  <dcterms:modified xsi:type="dcterms:W3CDTF">2019-06-05T05:12:00Z</dcterms:modified>
</cp:coreProperties>
</file>