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954E73" w:rsidRDefault="006D064D" w:rsidP="006D064D">
      <w:pPr>
        <w:spacing w:after="0"/>
        <w:ind w:left="2835" w:hanging="2835"/>
        <w:rPr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364FBB" w:rsidRPr="00954E73">
        <w:rPr>
          <w:b/>
          <w:szCs w:val="22"/>
        </w:rPr>
        <w:t>„</w:t>
      </w:r>
      <w:r>
        <w:rPr>
          <w:b/>
          <w:szCs w:val="22"/>
        </w:rPr>
        <w:t>Zřízení linky elektrobusů do</w:t>
      </w:r>
      <w:r w:rsidRPr="00954E73">
        <w:rPr>
          <w:b/>
          <w:szCs w:val="22"/>
        </w:rPr>
        <w:t xml:space="preserve"> průmyslov</w:t>
      </w:r>
      <w:r>
        <w:rPr>
          <w:b/>
          <w:szCs w:val="22"/>
        </w:rPr>
        <w:t>é</w:t>
      </w:r>
      <w:r w:rsidRPr="00954E73">
        <w:rPr>
          <w:b/>
          <w:szCs w:val="22"/>
        </w:rPr>
        <w:t xml:space="preserve"> zón</w:t>
      </w:r>
      <w:r>
        <w:rPr>
          <w:b/>
          <w:szCs w:val="22"/>
        </w:rPr>
        <w:t>y</w:t>
      </w:r>
      <w:r w:rsidRPr="00954E73">
        <w:rPr>
          <w:b/>
          <w:szCs w:val="22"/>
        </w:rPr>
        <w:t xml:space="preserve"> Hrabová</w:t>
      </w:r>
      <w:r w:rsidR="007115AB">
        <w:rPr>
          <w:b/>
          <w:szCs w:val="22"/>
        </w:rPr>
        <w:t xml:space="preserve"> II</w:t>
      </w:r>
      <w:r w:rsidRPr="00954E73">
        <w:rPr>
          <w:b/>
          <w:szCs w:val="22"/>
        </w:rPr>
        <w:t>“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 xml:space="preserve">(POZN. </w:t>
      </w:r>
      <w:r w:rsidR="0096124D" w:rsidRPr="00954E73">
        <w:rPr>
          <w:i/>
          <w:color w:val="00B0F0"/>
        </w:rPr>
        <w:t>D</w:t>
      </w:r>
      <w:r w:rsidR="00FF6D80" w:rsidRPr="00954E73">
        <w:rPr>
          <w:i/>
          <w:color w:val="00B0F0"/>
        </w:rPr>
        <w:t>oplní objednatel)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 xml:space="preserve">(POZN. Doplní </w:t>
      </w:r>
      <w:r w:rsidR="003B028C">
        <w:rPr>
          <w:i/>
          <w:color w:val="00B0F0"/>
        </w:rPr>
        <w:t>zhotovitel</w:t>
      </w:r>
      <w:r w:rsidR="00FF6D80" w:rsidRPr="00954E73">
        <w:rPr>
          <w:i/>
          <w:color w:val="00B0F0"/>
        </w:rPr>
        <w:t>, poté poznámku vymaže)</w:t>
      </w:r>
    </w:p>
    <w:p w:rsidR="00B522C5" w:rsidRPr="00954E73" w:rsidRDefault="001960F7" w:rsidP="00B522C5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B5659A" w:rsidRPr="00954E73">
        <w:rPr>
          <w:sz w:val="24"/>
          <w:szCs w:val="24"/>
        </w:rPr>
        <w:t>1</w:t>
      </w:r>
      <w:r w:rsidRPr="00954E73">
        <w:rPr>
          <w:sz w:val="24"/>
          <w:szCs w:val="24"/>
        </w:rPr>
        <w:t xml:space="preserve"> SoD - </w:t>
      </w:r>
      <w:r w:rsidR="00B5659A" w:rsidRPr="00954E73">
        <w:t xml:space="preserve">Požadavky na vyhotovení </w:t>
      </w:r>
      <w:r w:rsidR="000178FB" w:rsidRPr="00954E73">
        <w:t>studie proveditelnosti</w:t>
      </w:r>
    </w:p>
    <w:p w:rsidR="000D6BA9" w:rsidRPr="00954E73" w:rsidRDefault="000178FB" w:rsidP="000D6BA9">
      <w:pPr>
        <w:rPr>
          <w:szCs w:val="22"/>
        </w:rPr>
      </w:pPr>
      <w:r w:rsidRPr="00954E73">
        <w:rPr>
          <w:szCs w:val="22"/>
        </w:rPr>
        <w:t>Studie proveditelnosti</w:t>
      </w:r>
      <w:r w:rsidR="000D6BA9" w:rsidRPr="00954E73">
        <w:rPr>
          <w:szCs w:val="22"/>
        </w:rPr>
        <w:t xml:space="preserve"> </w:t>
      </w:r>
      <w:r w:rsidR="000D6BA9" w:rsidRPr="00954E73">
        <w:rPr>
          <w:b/>
          <w:szCs w:val="22"/>
        </w:rPr>
        <w:t>„</w:t>
      </w:r>
      <w:r w:rsidR="00E608B2">
        <w:rPr>
          <w:b/>
          <w:szCs w:val="22"/>
        </w:rPr>
        <w:t>Zřízení linky elektrobusů do</w:t>
      </w:r>
      <w:r w:rsidR="00B77519" w:rsidRPr="00954E73">
        <w:rPr>
          <w:b/>
          <w:szCs w:val="22"/>
        </w:rPr>
        <w:t xml:space="preserve"> průmyslov</w:t>
      </w:r>
      <w:r w:rsidR="00E608B2">
        <w:rPr>
          <w:b/>
          <w:szCs w:val="22"/>
        </w:rPr>
        <w:t>é</w:t>
      </w:r>
      <w:r w:rsidR="00B77519" w:rsidRPr="00954E73">
        <w:rPr>
          <w:b/>
          <w:szCs w:val="22"/>
        </w:rPr>
        <w:t xml:space="preserve"> zón</w:t>
      </w:r>
      <w:r w:rsidR="00E608B2">
        <w:rPr>
          <w:b/>
          <w:szCs w:val="22"/>
        </w:rPr>
        <w:t>y</w:t>
      </w:r>
      <w:r w:rsidR="00B77519" w:rsidRPr="00954E73">
        <w:rPr>
          <w:b/>
          <w:szCs w:val="22"/>
        </w:rPr>
        <w:t xml:space="preserve"> Hrabová</w:t>
      </w:r>
      <w:r w:rsidR="007115AB">
        <w:rPr>
          <w:b/>
          <w:szCs w:val="22"/>
        </w:rPr>
        <w:t xml:space="preserve"> II</w:t>
      </w:r>
      <w:r w:rsidR="000D6BA9" w:rsidRPr="00954E73">
        <w:rPr>
          <w:b/>
          <w:szCs w:val="22"/>
        </w:rPr>
        <w:t>“</w:t>
      </w:r>
      <w:r w:rsidR="000D6BA9" w:rsidRPr="00954E73">
        <w:rPr>
          <w:szCs w:val="22"/>
        </w:rPr>
        <w:t xml:space="preserve"> (dále jen</w:t>
      </w:r>
      <w:r w:rsidR="00B77519" w:rsidRPr="00954E73">
        <w:rPr>
          <w:szCs w:val="22"/>
        </w:rPr>
        <w:t xml:space="preserve"> dílo</w:t>
      </w:r>
      <w:r w:rsidR="000D6BA9" w:rsidRPr="00954E73">
        <w:rPr>
          <w:szCs w:val="22"/>
        </w:rPr>
        <w:t>) bude vyhotovena podle následujících požadavků:</w:t>
      </w:r>
    </w:p>
    <w:p w:rsidR="00B5659A" w:rsidRPr="00954E73" w:rsidRDefault="000178FB" w:rsidP="008F6179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>Studie proveditelnosti</w:t>
      </w:r>
      <w:r w:rsidR="00B5659A" w:rsidRPr="00954E73">
        <w:rPr>
          <w:b/>
          <w:szCs w:val="22"/>
        </w:rPr>
        <w:t xml:space="preserve"> </w:t>
      </w:r>
      <w:r w:rsidR="00B5659A" w:rsidRPr="00954E73">
        <w:rPr>
          <w:szCs w:val="22"/>
        </w:rPr>
        <w:t>bude zpracován</w:t>
      </w:r>
      <w:r w:rsidRPr="00954E73">
        <w:rPr>
          <w:szCs w:val="22"/>
        </w:rPr>
        <w:t>a</w:t>
      </w:r>
      <w:r w:rsidR="00B5659A" w:rsidRPr="00954E73">
        <w:rPr>
          <w:szCs w:val="22"/>
        </w:rPr>
        <w:t xml:space="preserve"> v tomto obsahu:</w:t>
      </w:r>
    </w:p>
    <w:p w:rsidR="000178FB" w:rsidRPr="00954E73" w:rsidRDefault="000178F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Návrh možných </w:t>
      </w:r>
      <w:r w:rsidR="00003365" w:rsidRPr="00954E73">
        <w:rPr>
          <w:szCs w:val="22"/>
        </w:rPr>
        <w:t xml:space="preserve">variantních </w:t>
      </w:r>
      <w:r w:rsidRPr="00954E73">
        <w:rPr>
          <w:szCs w:val="22"/>
        </w:rPr>
        <w:t>tras elektrobusů (</w:t>
      </w:r>
      <w:r w:rsidR="00E608B2">
        <w:rPr>
          <w:szCs w:val="22"/>
        </w:rPr>
        <w:t>zvýšení dostupnosti průmyslové zóny Hrabová</w:t>
      </w:r>
      <w:r w:rsidRPr="00954E73">
        <w:rPr>
          <w:szCs w:val="22"/>
        </w:rPr>
        <w:t>)</w:t>
      </w:r>
      <w:r w:rsidR="006D5BC8">
        <w:rPr>
          <w:szCs w:val="22"/>
        </w:rPr>
        <w:t>, min.</w:t>
      </w:r>
      <w:r w:rsidR="00E67118">
        <w:rPr>
          <w:szCs w:val="22"/>
        </w:rPr>
        <w:t xml:space="preserve"> </w:t>
      </w:r>
      <w:r w:rsidR="006D5BC8">
        <w:rPr>
          <w:szCs w:val="22"/>
        </w:rPr>
        <w:t>2 varianty</w:t>
      </w:r>
    </w:p>
    <w:p w:rsidR="000178FB" w:rsidRDefault="000178F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Dojezdová a časová vzdálenost</w:t>
      </w:r>
    </w:p>
    <w:p w:rsidR="00E608B2" w:rsidRDefault="00E608B2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Návrh grafikonu</w:t>
      </w:r>
      <w:r w:rsidR="005D68B0">
        <w:rPr>
          <w:szCs w:val="22"/>
        </w:rPr>
        <w:t xml:space="preserve"> (se zohledněním případné doby nabíjení a přestávek pro řidiče)</w:t>
      </w:r>
    </w:p>
    <w:p w:rsidR="006D5BC8" w:rsidRPr="00954E73" w:rsidRDefault="006D5BC8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Návrh potřebné kapacity elektrobusů (počet, obsaditelnost, dojezd)</w:t>
      </w:r>
    </w:p>
    <w:p w:rsidR="00B5659A" w:rsidRPr="00954E73" w:rsidRDefault="000178F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Návrh umístění nabíjecí stanice elektrobusů včetně zmapování majetkoprávních vztahů</w:t>
      </w:r>
    </w:p>
    <w:p w:rsidR="000178FB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Návrh nabíjecí stanice včetně technologie a způsobu nabíjení</w:t>
      </w:r>
    </w:p>
    <w:p w:rsidR="00786A3B" w:rsidRPr="00954E73" w:rsidRDefault="00786A3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Návrh přípojky VN pro NS z</w:t>
      </w:r>
      <w:r w:rsidR="002A36B6">
        <w:rPr>
          <w:szCs w:val="22"/>
        </w:rPr>
        <w:t xml:space="preserve"> měnírny </w:t>
      </w:r>
      <w:r w:rsidR="00B069AD">
        <w:rPr>
          <w:szCs w:val="22"/>
        </w:rPr>
        <w:t xml:space="preserve">objednatele </w:t>
      </w:r>
      <w:r w:rsidR="002A36B6">
        <w:rPr>
          <w:szCs w:val="22"/>
        </w:rPr>
        <w:t>(</w:t>
      </w:r>
      <w:r>
        <w:rPr>
          <w:szCs w:val="22"/>
        </w:rPr>
        <w:t>Hrabůvky nebo Dubiny</w:t>
      </w:r>
      <w:r w:rsidR="002A36B6">
        <w:rPr>
          <w:szCs w:val="22"/>
        </w:rPr>
        <w:t>) nebo z </w:t>
      </w:r>
      <w:r w:rsidR="00753844">
        <w:rPr>
          <w:szCs w:val="22"/>
        </w:rPr>
        <w:t xml:space="preserve">vedení nebo zařízení </w:t>
      </w:r>
      <w:r w:rsidR="002A36B6">
        <w:rPr>
          <w:szCs w:val="22"/>
        </w:rPr>
        <w:t>ČEZ Distribuce</w:t>
      </w:r>
    </w:p>
    <w:p w:rsidR="00003365" w:rsidRPr="00954E73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Návrh </w:t>
      </w:r>
      <w:r w:rsidR="009879F5">
        <w:rPr>
          <w:szCs w:val="22"/>
        </w:rPr>
        <w:t xml:space="preserve">nového </w:t>
      </w:r>
      <w:r w:rsidR="00351B31">
        <w:rPr>
          <w:szCs w:val="22"/>
        </w:rPr>
        <w:t>nebo využití stávajícího zázemí</w:t>
      </w:r>
      <w:r w:rsidR="009879F5">
        <w:rPr>
          <w:szCs w:val="22"/>
        </w:rPr>
        <w:t xml:space="preserve"> pro řidiče MHD u zastávky Poliklinika</w:t>
      </w:r>
      <w:r w:rsidR="00351B31">
        <w:rPr>
          <w:szCs w:val="22"/>
        </w:rPr>
        <w:t xml:space="preserve"> </w:t>
      </w:r>
      <w:r w:rsidRPr="00954E73">
        <w:rPr>
          <w:szCs w:val="22"/>
        </w:rPr>
        <w:t>s ohledem na docházkovou vzdálenost (WC</w:t>
      </w:r>
      <w:r w:rsidR="008704F7">
        <w:rPr>
          <w:szCs w:val="22"/>
        </w:rPr>
        <w:t>, úklidová místnost</w:t>
      </w:r>
      <w:r w:rsidRPr="00954E73">
        <w:rPr>
          <w:szCs w:val="22"/>
        </w:rPr>
        <w:t xml:space="preserve"> a </w:t>
      </w:r>
      <w:r w:rsidR="00E608B2">
        <w:rPr>
          <w:szCs w:val="22"/>
        </w:rPr>
        <w:t>místnost pro odpočinek řidičů</w:t>
      </w:r>
      <w:r w:rsidRPr="00954E73">
        <w:rPr>
          <w:szCs w:val="22"/>
        </w:rPr>
        <w:t>)</w:t>
      </w:r>
    </w:p>
    <w:p w:rsidR="00B5659A" w:rsidRPr="00954E73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Stanovení výše </w:t>
      </w:r>
      <w:r w:rsidR="00B77519" w:rsidRPr="00954E73">
        <w:rPr>
          <w:szCs w:val="22"/>
        </w:rPr>
        <w:t xml:space="preserve">předpokládaných pořizovacích </w:t>
      </w:r>
      <w:r w:rsidRPr="00954E73">
        <w:rPr>
          <w:szCs w:val="22"/>
        </w:rPr>
        <w:t>a provozních nákladů: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Nabíjecí stanice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Elektrobusy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Provozní náklady</w:t>
      </w:r>
      <w:r w:rsidR="006D5BC8">
        <w:rPr>
          <w:szCs w:val="22"/>
        </w:rPr>
        <w:t xml:space="preserve"> (kalkulační vzorec </w:t>
      </w:r>
      <w:r w:rsidR="004F3143">
        <w:rPr>
          <w:szCs w:val="22"/>
        </w:rPr>
        <w:t xml:space="preserve">- </w:t>
      </w:r>
      <w:r w:rsidR="006D5BC8">
        <w:rPr>
          <w:szCs w:val="22"/>
        </w:rPr>
        <w:t>„jednice”)</w:t>
      </w:r>
    </w:p>
    <w:p w:rsidR="00E67118" w:rsidRDefault="006D5BC8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Kalkulace</w:t>
      </w:r>
      <w:r w:rsidR="00E608B2" w:rsidRPr="00954E73">
        <w:rPr>
          <w:szCs w:val="22"/>
        </w:rPr>
        <w:t xml:space="preserve"> </w:t>
      </w:r>
      <w:r w:rsidR="00003365" w:rsidRPr="00954E73">
        <w:rPr>
          <w:szCs w:val="22"/>
        </w:rPr>
        <w:t xml:space="preserve">financování </w:t>
      </w:r>
      <w:r>
        <w:rPr>
          <w:szCs w:val="22"/>
        </w:rPr>
        <w:t>z pohledu návratnosti – alter</w:t>
      </w:r>
      <w:r w:rsidR="005D68B0">
        <w:rPr>
          <w:szCs w:val="22"/>
        </w:rPr>
        <w:t>nativn</w:t>
      </w:r>
      <w:r w:rsidR="004F3143">
        <w:rPr>
          <w:szCs w:val="22"/>
        </w:rPr>
        <w:t>ě ve</w:t>
      </w:r>
      <w:r>
        <w:rPr>
          <w:szCs w:val="22"/>
        </w:rPr>
        <w:t xml:space="preserve"> </w:t>
      </w:r>
      <w:r w:rsidR="004F3143">
        <w:rPr>
          <w:szCs w:val="22"/>
        </w:rPr>
        <w:t>výši</w:t>
      </w:r>
      <w:r>
        <w:rPr>
          <w:szCs w:val="22"/>
        </w:rPr>
        <w:t xml:space="preserve"> potřebné provozní dotace a </w:t>
      </w:r>
      <w:r w:rsidR="004F3143">
        <w:rPr>
          <w:szCs w:val="22"/>
        </w:rPr>
        <w:t xml:space="preserve">ve výši potřebné </w:t>
      </w:r>
      <w:r>
        <w:rPr>
          <w:szCs w:val="22"/>
        </w:rPr>
        <w:t>jednorázové investiční dotace</w:t>
      </w:r>
      <w:r w:rsidR="004F3143">
        <w:rPr>
          <w:szCs w:val="22"/>
        </w:rPr>
        <w:t>.</w:t>
      </w:r>
      <w:r>
        <w:rPr>
          <w:szCs w:val="22"/>
        </w:rPr>
        <w:t xml:space="preserve"> </w:t>
      </w:r>
    </w:p>
    <w:p w:rsidR="00E67118" w:rsidRDefault="00E67118" w:rsidP="00E6711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B5659A" w:rsidRPr="00E67118" w:rsidRDefault="009879F5" w:rsidP="00E67118">
      <w:pPr>
        <w:pStyle w:val="Odstavecseseznamem"/>
        <w:numPr>
          <w:ilvl w:val="0"/>
          <w:numId w:val="0"/>
        </w:numPr>
        <w:spacing w:after="200"/>
        <w:ind w:left="1134" w:hanging="567"/>
        <w:rPr>
          <w:szCs w:val="22"/>
        </w:rPr>
      </w:pPr>
      <w:r w:rsidRPr="00E67118">
        <w:rPr>
          <w:b/>
          <w:szCs w:val="22"/>
        </w:rPr>
        <w:t>Studie proveditelnosti</w:t>
      </w:r>
      <w:r w:rsidR="00B5659A" w:rsidRPr="00E67118">
        <w:rPr>
          <w:szCs w:val="22"/>
        </w:rPr>
        <w:t xml:space="preserve"> bude zpracován</w:t>
      </w:r>
      <w:r w:rsidR="005D68B0" w:rsidRPr="00E67118">
        <w:rPr>
          <w:szCs w:val="22"/>
        </w:rPr>
        <w:t>a</w:t>
      </w:r>
      <w:r w:rsidR="00B5659A" w:rsidRPr="00E67118">
        <w:rPr>
          <w:szCs w:val="22"/>
        </w:rPr>
        <w:t xml:space="preserve"> v následujícím rozsahu/členění</w:t>
      </w:r>
      <w:r w:rsidR="00762CCD" w:rsidRPr="00E67118">
        <w:rPr>
          <w:szCs w:val="22"/>
        </w:rPr>
        <w:t>, pro každou jednotlivou variantu</w:t>
      </w:r>
      <w:r w:rsidR="00B5659A" w:rsidRPr="00E67118">
        <w:rPr>
          <w:szCs w:val="22"/>
        </w:rPr>
        <w:t>:</w:t>
      </w:r>
    </w:p>
    <w:p w:rsidR="0041120C" w:rsidRPr="00954E73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E67118">
        <w:rPr>
          <w:szCs w:val="22"/>
        </w:rPr>
        <w:t>Geodetické zaměření (výškopis a poloho</w:t>
      </w:r>
      <w:r w:rsidRPr="00954E73">
        <w:rPr>
          <w:szCs w:val="22"/>
        </w:rPr>
        <w:t>pis) jednotlivých lokalit.</w:t>
      </w:r>
    </w:p>
    <w:p w:rsidR="00533A6C" w:rsidRPr="00954E73" w:rsidRDefault="00F11F77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Polohové</w:t>
      </w:r>
      <w:r w:rsidR="00762CCD" w:rsidRPr="00954E73">
        <w:rPr>
          <w:szCs w:val="22"/>
        </w:rPr>
        <w:t xml:space="preserve"> umístění </w:t>
      </w:r>
      <w:r w:rsidR="00003365" w:rsidRPr="00954E73">
        <w:rPr>
          <w:szCs w:val="22"/>
        </w:rPr>
        <w:t>nabíjecí</w:t>
      </w:r>
      <w:r w:rsidR="00762CCD" w:rsidRPr="00954E73">
        <w:rPr>
          <w:szCs w:val="22"/>
        </w:rPr>
        <w:t xml:space="preserve"> stanice a </w:t>
      </w:r>
      <w:r w:rsidR="00003365" w:rsidRPr="00954E73">
        <w:rPr>
          <w:szCs w:val="22"/>
        </w:rPr>
        <w:t>nabíjecích st</w:t>
      </w:r>
      <w:r w:rsidR="00762CCD" w:rsidRPr="00954E73">
        <w:rPr>
          <w:szCs w:val="22"/>
        </w:rPr>
        <w:t>ojanů, vč. příjezdové komunikace</w:t>
      </w:r>
      <w:r w:rsidR="004B1BE4" w:rsidRPr="00954E73">
        <w:rPr>
          <w:szCs w:val="22"/>
        </w:rPr>
        <w:t>,</w:t>
      </w:r>
      <w:r w:rsidR="00762CCD" w:rsidRPr="00954E73">
        <w:rPr>
          <w:szCs w:val="22"/>
        </w:rPr>
        <w:t xml:space="preserve"> zakreslení </w:t>
      </w:r>
      <w:r w:rsidR="0041120C" w:rsidRPr="00954E73">
        <w:rPr>
          <w:szCs w:val="22"/>
        </w:rPr>
        <w:t>obalových</w:t>
      </w:r>
      <w:r w:rsidR="00762CCD" w:rsidRPr="00954E73">
        <w:rPr>
          <w:szCs w:val="22"/>
        </w:rPr>
        <w:t xml:space="preserve"> křivek pro </w:t>
      </w:r>
      <w:r w:rsidR="005D68B0">
        <w:rPr>
          <w:szCs w:val="22"/>
        </w:rPr>
        <w:t>nejnepříznivější</w:t>
      </w:r>
      <w:r w:rsidR="005D68B0" w:rsidRPr="00954E73">
        <w:rPr>
          <w:szCs w:val="22"/>
        </w:rPr>
        <w:t xml:space="preserve"> </w:t>
      </w:r>
      <w:r w:rsidR="00762CCD" w:rsidRPr="00954E73">
        <w:rPr>
          <w:szCs w:val="22"/>
        </w:rPr>
        <w:t xml:space="preserve">typy </w:t>
      </w:r>
      <w:r w:rsidR="00E67118">
        <w:rPr>
          <w:szCs w:val="22"/>
        </w:rPr>
        <w:t>elektrob</w:t>
      </w:r>
      <w:r w:rsidR="00E67118" w:rsidRPr="00954E73">
        <w:rPr>
          <w:szCs w:val="22"/>
        </w:rPr>
        <w:t>usů</w:t>
      </w:r>
      <w:r w:rsidR="00762CCD" w:rsidRPr="00954E73">
        <w:rPr>
          <w:szCs w:val="22"/>
        </w:rPr>
        <w:t xml:space="preserve">. </w:t>
      </w:r>
    </w:p>
    <w:p w:rsidR="00614DFC" w:rsidRPr="00954E73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Požárně nebezpečný prostor </w:t>
      </w:r>
      <w:r w:rsidR="00003365" w:rsidRPr="00954E73">
        <w:rPr>
          <w:szCs w:val="22"/>
        </w:rPr>
        <w:t>nabíjecí</w:t>
      </w:r>
      <w:r w:rsidRPr="00954E73">
        <w:rPr>
          <w:szCs w:val="22"/>
        </w:rPr>
        <w:t xml:space="preserve"> stanice nebude zasahovat do požárně nebezpečných prostor stávajících okolních objektů (dle požárních norem). </w:t>
      </w:r>
    </w:p>
    <w:p w:rsidR="00533A6C" w:rsidRPr="00954E73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Prostorové umístění </w:t>
      </w:r>
      <w:r w:rsidR="00003365" w:rsidRPr="00954E73">
        <w:rPr>
          <w:szCs w:val="22"/>
        </w:rPr>
        <w:t>nabíjecí</w:t>
      </w:r>
      <w:r w:rsidRPr="00954E73">
        <w:rPr>
          <w:szCs w:val="22"/>
        </w:rPr>
        <w:t xml:space="preserve"> stanice bude respektovat hygienické hlukové limity vůči okolní zástavbě.</w:t>
      </w:r>
    </w:p>
    <w:p w:rsidR="00B5659A" w:rsidRPr="00954E7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Investiční </w:t>
      </w:r>
      <w:r w:rsidR="0041120C" w:rsidRPr="00954E73">
        <w:rPr>
          <w:szCs w:val="22"/>
        </w:rPr>
        <w:t xml:space="preserve">objemové </w:t>
      </w:r>
      <w:r w:rsidRPr="00954E73">
        <w:rPr>
          <w:szCs w:val="22"/>
        </w:rPr>
        <w:t>náklady navrženého řešení</w:t>
      </w:r>
      <w:r w:rsidR="00DB1A8D" w:rsidRPr="00954E73">
        <w:rPr>
          <w:szCs w:val="22"/>
        </w:rPr>
        <w:t xml:space="preserve"> jednotlivých stavebních objektů (dále jen SO) a provozních souborů (dále jen PS)</w:t>
      </w:r>
      <w:r w:rsidR="0041120C" w:rsidRPr="00954E73">
        <w:rPr>
          <w:szCs w:val="22"/>
        </w:rPr>
        <w:t xml:space="preserve"> – každé jednotlivé varianty</w:t>
      </w:r>
      <w:r w:rsidR="00B71CC3" w:rsidRPr="00954E73">
        <w:rPr>
          <w:szCs w:val="22"/>
        </w:rPr>
        <w:t>. Pozn. Bude sloužit jako podklad</w:t>
      </w:r>
      <w:r w:rsidR="0041120C" w:rsidRPr="00954E73">
        <w:rPr>
          <w:szCs w:val="22"/>
        </w:rPr>
        <w:t xml:space="preserve"> pro výběr</w:t>
      </w:r>
      <w:r w:rsidR="00B71CC3" w:rsidRPr="00954E73">
        <w:rPr>
          <w:szCs w:val="22"/>
        </w:rPr>
        <w:t>ové řízení na</w:t>
      </w:r>
      <w:r w:rsidR="0041120C" w:rsidRPr="00954E73">
        <w:rPr>
          <w:szCs w:val="22"/>
        </w:rPr>
        <w:t xml:space="preserve"> zhotovitele stavby</w:t>
      </w:r>
      <w:r w:rsidR="00C22D4F" w:rsidRPr="00954E73">
        <w:rPr>
          <w:szCs w:val="22"/>
        </w:rPr>
        <w:t xml:space="preserve"> včetně zpracování projektové dokumentace</w:t>
      </w:r>
      <w:r w:rsidR="004B1BE4" w:rsidRPr="00954E73">
        <w:rPr>
          <w:szCs w:val="22"/>
        </w:rPr>
        <w:t>.</w:t>
      </w:r>
    </w:p>
    <w:p w:rsidR="000829E7" w:rsidRPr="00954E7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Náročnost technického řešení</w:t>
      </w:r>
      <w:r w:rsidR="00F50A56" w:rsidRPr="00954E73">
        <w:rPr>
          <w:szCs w:val="22"/>
        </w:rPr>
        <w:t xml:space="preserve"> (stavební a technologické celky)</w:t>
      </w:r>
      <w:r w:rsidRPr="00954E73">
        <w:rPr>
          <w:szCs w:val="22"/>
        </w:rPr>
        <w:t>, organizace výstavby</w:t>
      </w:r>
      <w:r w:rsidR="000829E7" w:rsidRPr="00954E73">
        <w:rPr>
          <w:szCs w:val="22"/>
        </w:rPr>
        <w:t xml:space="preserve"> - každé jednotlivé varianty.</w:t>
      </w:r>
    </w:p>
    <w:p w:rsidR="00B5659A" w:rsidRPr="00954E73" w:rsidRDefault="000829E7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M</w:t>
      </w:r>
      <w:r w:rsidR="00B5659A" w:rsidRPr="00954E73">
        <w:rPr>
          <w:szCs w:val="22"/>
        </w:rPr>
        <w:t>ajetkoprávní vztahy</w:t>
      </w:r>
      <w:r w:rsidR="00F50A56" w:rsidRPr="00954E73">
        <w:rPr>
          <w:szCs w:val="22"/>
        </w:rPr>
        <w:t xml:space="preserve"> (soupis dotčených pozemků stavbou)</w:t>
      </w:r>
      <w:r w:rsidR="00B5659A" w:rsidRPr="00954E73">
        <w:rPr>
          <w:szCs w:val="22"/>
        </w:rPr>
        <w:t xml:space="preserve"> – každé jednotlivé varianty.</w:t>
      </w:r>
    </w:p>
    <w:p w:rsidR="001960F7" w:rsidRPr="00954E7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</w:t>
      </w:r>
      <w:r w:rsidR="00B71CC3" w:rsidRPr="00954E73">
        <w:rPr>
          <w:szCs w:val="22"/>
        </w:rPr>
        <w:t xml:space="preserve">hodnocení – </w:t>
      </w:r>
      <w:r w:rsidR="00786A3B" w:rsidRPr="00954E73">
        <w:rPr>
          <w:szCs w:val="22"/>
        </w:rPr>
        <w:t>písemn</w:t>
      </w:r>
      <w:r w:rsidR="00786A3B">
        <w:rPr>
          <w:szCs w:val="22"/>
        </w:rPr>
        <w:t>ě</w:t>
      </w:r>
      <w:r w:rsidR="00786A3B" w:rsidRPr="00954E73">
        <w:rPr>
          <w:szCs w:val="22"/>
        </w:rPr>
        <w:t xml:space="preserve"> </w:t>
      </w:r>
      <w:r w:rsidR="00B71CC3" w:rsidRPr="00954E73">
        <w:rPr>
          <w:szCs w:val="22"/>
        </w:rPr>
        <w:t xml:space="preserve">a prezentace </w:t>
      </w:r>
      <w:r w:rsidR="00C22D4F" w:rsidRPr="00954E73">
        <w:rPr>
          <w:szCs w:val="22"/>
        </w:rPr>
        <w:t>(</w:t>
      </w:r>
      <w:r w:rsidRPr="00954E73">
        <w:rPr>
          <w:szCs w:val="22"/>
        </w:rPr>
        <w:t>přednesení</w:t>
      </w:r>
      <w:r w:rsidR="00C22D4F" w:rsidRPr="00954E73">
        <w:rPr>
          <w:szCs w:val="22"/>
        </w:rPr>
        <w:t>)</w:t>
      </w:r>
      <w:r w:rsidRPr="00954E73">
        <w:rPr>
          <w:szCs w:val="22"/>
        </w:rPr>
        <w:t xml:space="preserve"> každé jednotlivé varianty vč. uvedení kladů a záporů, uvedení investičních nákladů</w:t>
      </w:r>
      <w:r w:rsidR="00DA744F" w:rsidRPr="00954E73">
        <w:rPr>
          <w:szCs w:val="22"/>
        </w:rPr>
        <w:t xml:space="preserve"> a</w:t>
      </w:r>
      <w:r w:rsidRPr="00954E73">
        <w:rPr>
          <w:szCs w:val="22"/>
        </w:rPr>
        <w:t xml:space="preserve"> </w:t>
      </w:r>
      <w:r w:rsidR="00DA744F" w:rsidRPr="00954E73">
        <w:rPr>
          <w:szCs w:val="22"/>
        </w:rPr>
        <w:t xml:space="preserve">technického řešení, </w:t>
      </w:r>
      <w:r w:rsidRPr="00954E73">
        <w:rPr>
          <w:szCs w:val="22"/>
        </w:rPr>
        <w:t>doporučení nejvhodnější varianty.</w:t>
      </w:r>
    </w:p>
    <w:p w:rsidR="00B71CC3" w:rsidRPr="00954E73" w:rsidRDefault="00B71CC3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Předpokládaný časový harmonogram realizace jednotlivých variant - na zajištění kompletní legislativy pro povolení stavby a následn</w:t>
      </w:r>
      <w:r w:rsidR="00C22D4F" w:rsidRPr="00954E73">
        <w:rPr>
          <w:szCs w:val="22"/>
        </w:rPr>
        <w:t>é</w:t>
      </w:r>
      <w:r w:rsidRPr="00954E73">
        <w:rPr>
          <w:szCs w:val="22"/>
        </w:rPr>
        <w:t xml:space="preserve"> realizace stavby</w:t>
      </w:r>
      <w:r w:rsidR="004F3143">
        <w:rPr>
          <w:szCs w:val="22"/>
        </w:rPr>
        <w:t>, doba pořízení elektrobusů</w:t>
      </w:r>
      <w:r w:rsidRPr="00954E73">
        <w:rPr>
          <w:szCs w:val="22"/>
        </w:rPr>
        <w:t>.</w:t>
      </w:r>
    </w:p>
    <w:p w:rsidR="00A145C4" w:rsidRPr="00954E73" w:rsidRDefault="00762CCD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</w:t>
      </w:r>
      <w:r w:rsidR="002B7A00" w:rsidRPr="00954E73">
        <w:rPr>
          <w:szCs w:val="22"/>
        </w:rPr>
        <w:t xml:space="preserve">dokladové části </w:t>
      </w:r>
      <w:r w:rsidR="009D7B8D" w:rsidRPr="00954E73">
        <w:rPr>
          <w:szCs w:val="22"/>
        </w:rPr>
        <w:t>v minimální</w:t>
      </w:r>
      <w:r w:rsidR="00E27561" w:rsidRPr="00954E73">
        <w:rPr>
          <w:szCs w:val="22"/>
        </w:rPr>
        <w:t>m</w:t>
      </w:r>
      <w:r w:rsidR="009D7B8D" w:rsidRPr="00954E73">
        <w:rPr>
          <w:szCs w:val="22"/>
        </w:rPr>
        <w:t xml:space="preserve"> rozsahu:</w:t>
      </w:r>
      <w:r w:rsidR="002B7A00" w:rsidRPr="00954E73">
        <w:rPr>
          <w:szCs w:val="22"/>
        </w:rPr>
        <w:t xml:space="preserve"> </w:t>
      </w:r>
      <w:r w:rsidRPr="00954E73">
        <w:rPr>
          <w:szCs w:val="22"/>
        </w:rPr>
        <w:t>vyjádření správců inženýrských sítí k existenci sítí</w:t>
      </w:r>
      <w:r w:rsidR="002B7A00" w:rsidRPr="00954E73">
        <w:rPr>
          <w:szCs w:val="22"/>
        </w:rPr>
        <w:t xml:space="preserve">, </w:t>
      </w:r>
      <w:r w:rsidR="00DF5EBF" w:rsidRPr="00954E73">
        <w:rPr>
          <w:szCs w:val="22"/>
        </w:rPr>
        <w:t>územní plánovací informace, předběžn</w:t>
      </w:r>
      <w:r w:rsidR="00F50A56" w:rsidRPr="00954E73">
        <w:rPr>
          <w:szCs w:val="22"/>
        </w:rPr>
        <w:t>é</w:t>
      </w:r>
      <w:r w:rsidR="00DF5EBF" w:rsidRPr="00954E73">
        <w:rPr>
          <w:szCs w:val="22"/>
        </w:rPr>
        <w:t xml:space="preserve"> s</w:t>
      </w:r>
      <w:r w:rsidR="00F50A56" w:rsidRPr="00954E73">
        <w:rPr>
          <w:szCs w:val="22"/>
        </w:rPr>
        <w:t>tanovisko</w:t>
      </w:r>
      <w:r w:rsidR="00DF5EBF" w:rsidRPr="00954E73">
        <w:rPr>
          <w:szCs w:val="22"/>
        </w:rPr>
        <w:t xml:space="preserve"> MMO ÚHA</w:t>
      </w:r>
      <w:r w:rsidR="00C22D4F" w:rsidRPr="00954E73">
        <w:rPr>
          <w:szCs w:val="22"/>
        </w:rPr>
        <w:t xml:space="preserve"> a stavebního řádu,</w:t>
      </w:r>
      <w:r w:rsidR="00DF5EBF" w:rsidRPr="00954E73">
        <w:rPr>
          <w:szCs w:val="22"/>
        </w:rPr>
        <w:t xml:space="preserve"> a MMO </w:t>
      </w:r>
      <w:r w:rsidR="00C22D4F" w:rsidRPr="00954E73">
        <w:rPr>
          <w:szCs w:val="22"/>
        </w:rPr>
        <w:t>o</w:t>
      </w:r>
      <w:r w:rsidR="00DF5EBF" w:rsidRPr="00954E73">
        <w:rPr>
          <w:szCs w:val="22"/>
        </w:rPr>
        <w:t>dbor dopravy</w:t>
      </w:r>
      <w:r w:rsidR="004F3143">
        <w:rPr>
          <w:szCs w:val="22"/>
        </w:rPr>
        <w:t>, projednání návrhu a vyjádření správce průmyslové zóny</w:t>
      </w:r>
      <w:r w:rsidR="00720220" w:rsidRPr="00954E73">
        <w:rPr>
          <w:szCs w:val="22"/>
        </w:rPr>
        <w:t>.</w:t>
      </w:r>
      <w:r w:rsidR="002B7A00" w:rsidRPr="00954E73">
        <w:rPr>
          <w:szCs w:val="22"/>
        </w:rPr>
        <w:t xml:space="preserve"> </w:t>
      </w:r>
    </w:p>
    <w:p w:rsidR="0022566A" w:rsidRPr="00954E73" w:rsidRDefault="0022566A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</w:t>
      </w:r>
      <w:r w:rsidR="00C22D4F" w:rsidRPr="00954E73">
        <w:rPr>
          <w:szCs w:val="22"/>
        </w:rPr>
        <w:t>jednatele k</w:t>
      </w:r>
      <w:r w:rsidR="009879F5">
        <w:rPr>
          <w:szCs w:val="22"/>
        </w:rPr>
        <w:t> studii proved</w:t>
      </w:r>
      <w:r w:rsidR="006C67B4">
        <w:rPr>
          <w:szCs w:val="22"/>
        </w:rPr>
        <w:t>i</w:t>
      </w:r>
      <w:r w:rsidR="009879F5">
        <w:rPr>
          <w:szCs w:val="22"/>
        </w:rPr>
        <w:t>telnosti</w:t>
      </w:r>
      <w:r w:rsidRPr="00954E73">
        <w:rPr>
          <w:szCs w:val="22"/>
        </w:rPr>
        <w:t xml:space="preserve">. Objednatel vydá toto stanovisko po předložení </w:t>
      </w:r>
      <w:r w:rsidR="009879F5">
        <w:rPr>
          <w:szCs w:val="22"/>
        </w:rPr>
        <w:t>studii proveditelnosti</w:t>
      </w:r>
      <w:r w:rsidRPr="00954E73">
        <w:rPr>
          <w:szCs w:val="22"/>
        </w:rPr>
        <w:t xml:space="preserve"> vč. kompletní dokladové části, a to ve lhůtě 10 pracovních dnů ode dne doručení písemné žádosti objednateli – </w:t>
      </w:r>
      <w:r w:rsidR="009262FF" w:rsidRPr="00954E73">
        <w:rPr>
          <w:szCs w:val="22"/>
        </w:rPr>
        <w:t>na oddělení příprava a realizace investic.</w:t>
      </w:r>
    </w:p>
    <w:p w:rsidR="00C722BD" w:rsidRPr="00954E73" w:rsidRDefault="00C722BD" w:rsidP="00C722BD">
      <w:pPr>
        <w:spacing w:after="200"/>
        <w:ind w:left="567"/>
        <w:rPr>
          <w:szCs w:val="22"/>
        </w:rPr>
      </w:pPr>
      <w:r w:rsidRPr="00954E73">
        <w:rPr>
          <w:szCs w:val="22"/>
        </w:rPr>
        <w:lastRenderedPageBreak/>
        <w:t>Veškeré podmínky/požadavky dotčených orgánů</w:t>
      </w:r>
      <w:r w:rsidR="004739E5" w:rsidRPr="00954E73">
        <w:rPr>
          <w:szCs w:val="22"/>
        </w:rPr>
        <w:t>,</w:t>
      </w:r>
      <w:r w:rsidRPr="00954E73">
        <w:rPr>
          <w:szCs w:val="22"/>
        </w:rPr>
        <w:t xml:space="preserve"> organizací</w:t>
      </w:r>
      <w:r w:rsidR="004739E5" w:rsidRPr="00954E73">
        <w:rPr>
          <w:szCs w:val="22"/>
        </w:rPr>
        <w:t xml:space="preserve"> a objednatele,</w:t>
      </w:r>
      <w:r w:rsidRPr="00954E73">
        <w:rPr>
          <w:szCs w:val="22"/>
        </w:rPr>
        <w:t xml:space="preserve"> uvedené ve vyjádřeních a rozhodnutích, budou zhotovitelem zapracovány do </w:t>
      </w:r>
      <w:r w:rsidR="009879F5">
        <w:rPr>
          <w:szCs w:val="22"/>
        </w:rPr>
        <w:t>studie proveditelnosti</w:t>
      </w:r>
      <w:r w:rsidRPr="00954E73">
        <w:rPr>
          <w:szCs w:val="22"/>
        </w:rPr>
        <w:t>.</w:t>
      </w:r>
    </w:p>
    <w:p w:rsidR="00762CCD" w:rsidRPr="00954E73" w:rsidRDefault="00762CCD" w:rsidP="00762CCD">
      <w:pPr>
        <w:spacing w:after="200"/>
        <w:ind w:left="1134" w:hanging="567"/>
      </w:pPr>
      <w:r w:rsidRPr="00954E73">
        <w:rPr>
          <w:szCs w:val="22"/>
        </w:rPr>
        <w:t>Pro</w:t>
      </w:r>
      <w:r w:rsidRPr="00954E73">
        <w:t xml:space="preserve"> zprac</w:t>
      </w:r>
      <w:r w:rsidR="00533A6C" w:rsidRPr="00954E73">
        <w:t xml:space="preserve">ování </w:t>
      </w:r>
      <w:r w:rsidR="009879F5">
        <w:t>studie proveditelnosti</w:t>
      </w:r>
      <w:r w:rsidR="00533A6C" w:rsidRPr="00954E73">
        <w:t xml:space="preserve"> jsou navržena základní </w:t>
      </w:r>
      <w:r w:rsidRPr="00954E73">
        <w:t>kritéria:</w:t>
      </w:r>
    </w:p>
    <w:p w:rsidR="00762CCD" w:rsidRPr="00954E73" w:rsidRDefault="006E6537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Nabíjecí</w:t>
      </w:r>
      <w:r w:rsidR="00AC7A68" w:rsidRPr="00954E73">
        <w:rPr>
          <w:szCs w:val="22"/>
        </w:rPr>
        <w:t xml:space="preserve"> stanice bude navržena</w:t>
      </w:r>
      <w:r w:rsidR="00762CCD" w:rsidRPr="00954E73">
        <w:rPr>
          <w:szCs w:val="22"/>
        </w:rPr>
        <w:t xml:space="preserve"> jako </w:t>
      </w:r>
      <w:r w:rsidRPr="00954E73">
        <w:rPr>
          <w:szCs w:val="22"/>
        </w:rPr>
        <w:t>ne</w:t>
      </w:r>
      <w:r w:rsidR="00C0719D" w:rsidRPr="00954E73">
        <w:rPr>
          <w:szCs w:val="22"/>
        </w:rPr>
        <w:t>veřejná</w:t>
      </w:r>
      <w:r w:rsidR="00C22D4F" w:rsidRPr="00954E73">
        <w:rPr>
          <w:szCs w:val="22"/>
        </w:rPr>
        <w:t>,</w:t>
      </w:r>
      <w:r w:rsidR="00762CCD" w:rsidRPr="00954E73">
        <w:rPr>
          <w:szCs w:val="22"/>
        </w:rPr>
        <w:t xml:space="preserve"> bezobslužná</w:t>
      </w:r>
      <w:r w:rsidR="008F3EB7">
        <w:rPr>
          <w:szCs w:val="22"/>
        </w:rPr>
        <w:t>,</w:t>
      </w:r>
      <w:r w:rsidR="00AC7A68" w:rsidRPr="00954E73">
        <w:rPr>
          <w:szCs w:val="22"/>
        </w:rPr>
        <w:t xml:space="preserve"> tzn. </w:t>
      </w:r>
      <w:r w:rsidR="00C22D4F" w:rsidRPr="00954E73">
        <w:rPr>
          <w:szCs w:val="22"/>
        </w:rPr>
        <w:t xml:space="preserve">pro </w:t>
      </w:r>
      <w:r w:rsidR="000C76DC">
        <w:rPr>
          <w:szCs w:val="22"/>
        </w:rPr>
        <w:t>objednatele</w:t>
      </w:r>
      <w:r w:rsidR="00AC7A68" w:rsidRPr="00954E73">
        <w:rPr>
          <w:szCs w:val="22"/>
        </w:rPr>
        <w:t xml:space="preserve"> a SMO</w:t>
      </w:r>
      <w:r w:rsidR="00762CCD" w:rsidRPr="00954E73">
        <w:rPr>
          <w:szCs w:val="22"/>
        </w:rPr>
        <w:t>.</w:t>
      </w:r>
      <w:r w:rsidRPr="00954E73">
        <w:rPr>
          <w:szCs w:val="22"/>
        </w:rPr>
        <w:t xml:space="preserve"> Stav nabíjení</w:t>
      </w:r>
      <w:r w:rsidR="00762CCD" w:rsidRPr="00954E73">
        <w:rPr>
          <w:szCs w:val="22"/>
        </w:rPr>
        <w:t xml:space="preserve"> </w:t>
      </w:r>
      <w:r w:rsidRPr="00954E73">
        <w:rPr>
          <w:szCs w:val="22"/>
        </w:rPr>
        <w:t>xx</w:t>
      </w:r>
      <w:r w:rsidR="00131C2F" w:rsidRPr="00954E73">
        <w:rPr>
          <w:szCs w:val="22"/>
        </w:rPr>
        <w:t xml:space="preserve"> autobusů</w:t>
      </w:r>
      <w:r w:rsidR="000C5D05" w:rsidRPr="00954E73">
        <w:rPr>
          <w:szCs w:val="22"/>
        </w:rPr>
        <w:t>/den</w:t>
      </w:r>
      <w:r w:rsidR="00131C2F" w:rsidRPr="00954E73">
        <w:rPr>
          <w:szCs w:val="22"/>
        </w:rPr>
        <w:t xml:space="preserve"> </w:t>
      </w:r>
      <w:r w:rsidR="000C76DC">
        <w:rPr>
          <w:szCs w:val="22"/>
        </w:rPr>
        <w:t>objednatele</w:t>
      </w:r>
      <w:r w:rsidR="00762CCD" w:rsidRPr="00954E73">
        <w:rPr>
          <w:szCs w:val="22"/>
        </w:rPr>
        <w:t>.</w:t>
      </w:r>
      <w:r w:rsidR="00611987" w:rsidRPr="00954E73">
        <w:rPr>
          <w:szCs w:val="22"/>
        </w:rPr>
        <w:t xml:space="preserve"> Napojení </w:t>
      </w:r>
      <w:r w:rsidRPr="00954E73">
        <w:rPr>
          <w:szCs w:val="22"/>
        </w:rPr>
        <w:t>nabíjecí</w:t>
      </w:r>
      <w:r w:rsidR="002D2CD4" w:rsidRPr="00954E73">
        <w:rPr>
          <w:szCs w:val="22"/>
        </w:rPr>
        <w:t xml:space="preserve"> stanice bude </w:t>
      </w:r>
      <w:r w:rsidR="00611987" w:rsidRPr="00954E73">
        <w:rPr>
          <w:szCs w:val="22"/>
        </w:rPr>
        <w:t xml:space="preserve">provedeno </w:t>
      </w:r>
      <w:r w:rsidR="00E67118">
        <w:rPr>
          <w:szCs w:val="22"/>
        </w:rPr>
        <w:t xml:space="preserve">z měnírny </w:t>
      </w:r>
      <w:r w:rsidR="00B069AD">
        <w:rPr>
          <w:szCs w:val="22"/>
        </w:rPr>
        <w:t xml:space="preserve">objednatele </w:t>
      </w:r>
      <w:r w:rsidR="00E67118">
        <w:rPr>
          <w:szCs w:val="22"/>
        </w:rPr>
        <w:t>(Hrabůvky nebo Dubiny) nebo z </w:t>
      </w:r>
      <w:r w:rsidR="008F3EB7">
        <w:rPr>
          <w:szCs w:val="22"/>
        </w:rPr>
        <w:t>vedení nebo zařízení</w:t>
      </w:r>
      <w:r w:rsidR="00E67118">
        <w:rPr>
          <w:szCs w:val="22"/>
        </w:rPr>
        <w:t xml:space="preserve"> ČEZ Distribuce</w:t>
      </w:r>
      <w:r w:rsidRPr="00954E73">
        <w:rPr>
          <w:szCs w:val="22"/>
        </w:rPr>
        <w:t>.</w:t>
      </w:r>
    </w:p>
    <w:p w:rsidR="00F477F1" w:rsidRPr="00954E73" w:rsidRDefault="00F477F1" w:rsidP="00AC7A68">
      <w:pPr>
        <w:spacing w:after="0"/>
        <w:ind w:left="1134" w:hanging="567"/>
        <w:rPr>
          <w:szCs w:val="22"/>
        </w:rPr>
      </w:pPr>
    </w:p>
    <w:p w:rsidR="00DB1A8D" w:rsidRPr="00954E73" w:rsidRDefault="009879F5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 proveditelnosti</w:t>
      </w:r>
      <w:r w:rsidR="00B5659A" w:rsidRPr="00954E73">
        <w:rPr>
          <w:szCs w:val="22"/>
        </w:rPr>
        <w:t xml:space="preserve"> </w:t>
      </w:r>
      <w:r w:rsidR="00BC236D" w:rsidRPr="00954E73">
        <w:rPr>
          <w:szCs w:val="22"/>
        </w:rPr>
        <w:t>bude respektovat</w:t>
      </w:r>
      <w:r w:rsidR="004739E5" w:rsidRPr="00954E73">
        <w:rPr>
          <w:szCs w:val="22"/>
        </w:rPr>
        <w:t xml:space="preserve"> zejména</w:t>
      </w:r>
      <w:r w:rsidR="00DB1A8D" w:rsidRPr="00954E73">
        <w:rPr>
          <w:szCs w:val="22"/>
        </w:rPr>
        <w:t>:</w:t>
      </w:r>
    </w:p>
    <w:p w:rsidR="00B14C3D" w:rsidRPr="00954E73" w:rsidRDefault="00751E5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Z</w:t>
      </w:r>
      <w:r w:rsidR="00BC236D" w:rsidRPr="00954E73">
        <w:rPr>
          <w:szCs w:val="22"/>
        </w:rPr>
        <w:t xml:space="preserve">ákon č. 458/2000 Sb. (energetický zákon) v platném znění, </w:t>
      </w:r>
    </w:p>
    <w:p w:rsidR="00AC7A68" w:rsidRPr="00954E73" w:rsidRDefault="00AC7A68" w:rsidP="00BC236D">
      <w:pPr>
        <w:spacing w:after="0"/>
        <w:ind w:left="1134"/>
        <w:rPr>
          <w:szCs w:val="22"/>
        </w:rPr>
      </w:pPr>
    </w:p>
    <w:p w:rsidR="0056048F" w:rsidRPr="00954E73" w:rsidRDefault="009879F5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 proveditelnosti</w:t>
      </w:r>
      <w:r w:rsidR="00FC73AC" w:rsidRPr="00954E73">
        <w:rPr>
          <w:szCs w:val="22"/>
        </w:rPr>
        <w:t xml:space="preserve"> zohlední</w:t>
      </w:r>
      <w:r w:rsidR="00E857A7" w:rsidRPr="00954E73">
        <w:rPr>
          <w:szCs w:val="22"/>
        </w:rPr>
        <w:t xml:space="preserve"> níže uvedené </w:t>
      </w:r>
      <w:r w:rsidR="00FC73AC" w:rsidRPr="00954E73">
        <w:rPr>
          <w:szCs w:val="22"/>
        </w:rPr>
        <w:t xml:space="preserve">požadavky na </w:t>
      </w:r>
      <w:r w:rsidR="00E857A7" w:rsidRPr="00954E73">
        <w:rPr>
          <w:szCs w:val="22"/>
        </w:rPr>
        <w:t>SO a PS</w:t>
      </w:r>
      <w:r w:rsidR="00C80F3E" w:rsidRPr="00954E73">
        <w:rPr>
          <w:szCs w:val="22"/>
        </w:rPr>
        <w:t>:</w:t>
      </w:r>
      <w:r w:rsidR="006D3861" w:rsidRPr="00954E73">
        <w:rPr>
          <w:szCs w:val="22"/>
        </w:rPr>
        <w:t xml:space="preserve"> </w:t>
      </w:r>
      <w:r w:rsidR="0056048F" w:rsidRPr="00954E73">
        <w:rPr>
          <w:szCs w:val="22"/>
        </w:rPr>
        <w:t xml:space="preserve"> </w:t>
      </w:r>
    </w:p>
    <w:p w:rsidR="006E6537" w:rsidRPr="00954E73" w:rsidRDefault="006E6537" w:rsidP="006E6537">
      <w:pPr>
        <w:pStyle w:val="Odstavecseseznamem"/>
        <w:numPr>
          <w:ilvl w:val="0"/>
          <w:numId w:val="0"/>
        </w:numPr>
        <w:spacing w:after="0"/>
        <w:ind w:left="1134"/>
        <w:rPr>
          <w:szCs w:val="22"/>
        </w:rPr>
      </w:pP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1</w:t>
      </w:r>
      <w:r w:rsidRPr="00954E73">
        <w:rPr>
          <w:b/>
          <w:szCs w:val="22"/>
        </w:rPr>
        <w:t xml:space="preserve"> </w:t>
      </w:r>
      <w:r w:rsidR="006E6537" w:rsidRPr="00954E73">
        <w:rPr>
          <w:b/>
          <w:szCs w:val="22"/>
        </w:rPr>
        <w:t>Nabíjecí</w:t>
      </w:r>
      <w:r w:rsidRPr="00954E73">
        <w:rPr>
          <w:b/>
          <w:szCs w:val="22"/>
        </w:rPr>
        <w:t xml:space="preserve"> stanice - stavební část</w:t>
      </w:r>
    </w:p>
    <w:p w:rsidR="00C80F3E" w:rsidRPr="00954E73" w:rsidRDefault="006E6537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Objekty</w:t>
      </w:r>
      <w:r w:rsidR="00C80F3E" w:rsidRPr="00954E73">
        <w:rPr>
          <w:szCs w:val="22"/>
        </w:rPr>
        <w:t xml:space="preserve"> pro umístění technologického zařízení</w:t>
      </w:r>
      <w:r w:rsidRPr="00954E73">
        <w:rPr>
          <w:szCs w:val="22"/>
        </w:rPr>
        <w:t xml:space="preserve"> </w:t>
      </w:r>
      <w:r w:rsidR="00C80F3E" w:rsidRPr="00954E73">
        <w:rPr>
          <w:szCs w:val="22"/>
        </w:rPr>
        <w:t>– vč. základové konstrukce.</w:t>
      </w:r>
    </w:p>
    <w:p w:rsidR="00B77519" w:rsidRPr="00954E73" w:rsidRDefault="00C80F3E" w:rsidP="00B77519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 xml:space="preserve">Elektroinstalace a uzemnění </w:t>
      </w:r>
      <w:r w:rsidR="006E6537" w:rsidRPr="00954E73">
        <w:rPr>
          <w:szCs w:val="22"/>
        </w:rPr>
        <w:t>nabíjecí</w:t>
      </w:r>
      <w:r w:rsidRPr="00954E73">
        <w:rPr>
          <w:szCs w:val="22"/>
        </w:rPr>
        <w:t xml:space="preserve"> stanice, rozvaděče pro technologie.</w:t>
      </w:r>
    </w:p>
    <w:p w:rsidR="00B77519" w:rsidRPr="00954E73" w:rsidRDefault="00B77519" w:rsidP="00E67118">
      <w:pPr>
        <w:pStyle w:val="Odstavecseseznamem"/>
        <w:numPr>
          <w:ilvl w:val="0"/>
          <w:numId w:val="9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Rozvržení nabíjecích stojanů a určení způsobu nabíjení vozidel.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2</w:t>
      </w:r>
      <w:r w:rsidRPr="00954E73">
        <w:rPr>
          <w:b/>
          <w:szCs w:val="22"/>
        </w:rPr>
        <w:t xml:space="preserve"> Zpevněné plochy vč. odvodnění</w:t>
      </w:r>
      <w:r w:rsidR="000829E7" w:rsidRPr="00954E73">
        <w:rPr>
          <w:b/>
          <w:szCs w:val="22"/>
        </w:rPr>
        <w:t xml:space="preserve"> a dopravního značení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Úprava přístupové komunikace, a případné další úpravy stávajících zpevněných ploch.</w:t>
      </w:r>
    </w:p>
    <w:p w:rsidR="00F71D36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Úpravy stávajícího dopravního značení</w:t>
      </w:r>
      <w:r w:rsidR="00F71D36" w:rsidRPr="00954E73">
        <w:rPr>
          <w:szCs w:val="22"/>
        </w:rPr>
        <w:t>.</w:t>
      </w:r>
    </w:p>
    <w:p w:rsidR="00C80F3E" w:rsidRPr="00954E73" w:rsidRDefault="00F71D36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D</w:t>
      </w:r>
      <w:r w:rsidR="00C33E47" w:rsidRPr="00954E73">
        <w:rPr>
          <w:szCs w:val="22"/>
        </w:rPr>
        <w:t>opravní obslužnost</w:t>
      </w:r>
      <w:r w:rsidR="007131E4" w:rsidRPr="00954E73">
        <w:rPr>
          <w:szCs w:val="22"/>
        </w:rPr>
        <w:t xml:space="preserve"> </w:t>
      </w:r>
      <w:r w:rsidRPr="00954E73">
        <w:rPr>
          <w:szCs w:val="22"/>
        </w:rPr>
        <w:t xml:space="preserve">a </w:t>
      </w:r>
      <w:r w:rsidR="0041120C" w:rsidRPr="00954E73">
        <w:rPr>
          <w:szCs w:val="22"/>
        </w:rPr>
        <w:t>obalové</w:t>
      </w:r>
      <w:r w:rsidRPr="00954E73">
        <w:rPr>
          <w:szCs w:val="22"/>
        </w:rPr>
        <w:t xml:space="preserve"> křivky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Dešťová kanalizace odvádějící dešťové vody do stávající dešťové kanalizace. </w:t>
      </w:r>
    </w:p>
    <w:p w:rsidR="00683635" w:rsidRPr="00954E73" w:rsidRDefault="00683635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Vybudování nových zpevněných ploch včetně </w:t>
      </w:r>
      <w:r w:rsidR="00DB1A8D" w:rsidRPr="00954E73">
        <w:rPr>
          <w:szCs w:val="22"/>
        </w:rPr>
        <w:t>dopravního značení</w:t>
      </w:r>
      <w:r w:rsidRPr="00954E73">
        <w:rPr>
          <w:szCs w:val="22"/>
        </w:rPr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3</w:t>
      </w:r>
      <w:r w:rsidRPr="00954E73">
        <w:rPr>
          <w:b/>
          <w:szCs w:val="22"/>
        </w:rPr>
        <w:t xml:space="preserve"> Elektropřípojka </w:t>
      </w:r>
    </w:p>
    <w:p w:rsidR="006E6537" w:rsidRPr="00954E73" w:rsidRDefault="006E6537" w:rsidP="006E6537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Zřízení elektropřípojky pro nabíjecí stanici včetně určení místa napojení a provedení potřebných úprav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Měření spotřeby elektrické energie</w:t>
      </w:r>
      <w:r w:rsidR="00D93882" w:rsidRPr="00954E73">
        <w:rPr>
          <w:szCs w:val="22"/>
        </w:rPr>
        <w:t xml:space="preserve"> pro technologii </w:t>
      </w:r>
      <w:r w:rsidR="006E6537" w:rsidRPr="00954E73">
        <w:rPr>
          <w:szCs w:val="22"/>
        </w:rPr>
        <w:t>nabíjecí</w:t>
      </w:r>
      <w:r w:rsidR="00D93882" w:rsidRPr="00954E73">
        <w:rPr>
          <w:szCs w:val="22"/>
        </w:rPr>
        <w:t xml:space="preserve"> stanice</w:t>
      </w:r>
      <w:r w:rsidRPr="00954E73">
        <w:rPr>
          <w:szCs w:val="22"/>
        </w:rPr>
        <w:t xml:space="preserve">. 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Napojení do systému AYSIS</w:t>
      </w:r>
      <w:r w:rsidR="00DB1A8D" w:rsidRPr="00954E73">
        <w:rPr>
          <w:szCs w:val="22"/>
        </w:rPr>
        <w:t xml:space="preserve">, který je ve vlastnictví </w:t>
      </w:r>
      <w:r w:rsidR="000C76DC">
        <w:rPr>
          <w:szCs w:val="22"/>
        </w:rPr>
        <w:t>objednatele</w:t>
      </w:r>
      <w:r w:rsidR="00DB1A8D" w:rsidRPr="00954E73">
        <w:rPr>
          <w:szCs w:val="22"/>
        </w:rPr>
        <w:t xml:space="preserve"> </w:t>
      </w:r>
      <w:r w:rsidRPr="00954E73">
        <w:rPr>
          <w:szCs w:val="22"/>
        </w:rPr>
        <w:t>vč. úpravy software</w:t>
      </w:r>
      <w:r w:rsidR="006F3C6F" w:rsidRPr="00954E73">
        <w:rPr>
          <w:szCs w:val="22"/>
        </w:rPr>
        <w:t xml:space="preserve"> a přenosu dat do systému IT</w:t>
      </w:r>
      <w:r w:rsidR="00B71CC3" w:rsidRPr="00954E73">
        <w:rPr>
          <w:szCs w:val="22"/>
        </w:rPr>
        <w:t xml:space="preserve"> a na dispečink dopravní cesty</w:t>
      </w:r>
      <w:r w:rsidR="003109ED" w:rsidRPr="00954E73">
        <w:rPr>
          <w:szCs w:val="22"/>
        </w:rPr>
        <w:t xml:space="preserve"> DP Ostrava</w:t>
      </w:r>
      <w:r w:rsidRPr="00954E73">
        <w:rPr>
          <w:szCs w:val="22"/>
        </w:rPr>
        <w:t xml:space="preserve">. </w:t>
      </w:r>
    </w:p>
    <w:p w:rsidR="001802B9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Možnost blokování </w:t>
      </w:r>
      <w:r w:rsidR="006E6537" w:rsidRPr="00954E73">
        <w:rPr>
          <w:szCs w:val="22"/>
        </w:rPr>
        <w:t>nabíjecí stanice</w:t>
      </w:r>
      <w:r w:rsidRPr="00954E73">
        <w:rPr>
          <w:szCs w:val="22"/>
        </w:rPr>
        <w:t xml:space="preserve"> </w:t>
      </w:r>
      <w:r w:rsidR="00E61A16" w:rsidRPr="00954E73">
        <w:rPr>
          <w:szCs w:val="22"/>
        </w:rPr>
        <w:t>objednatele</w:t>
      </w:r>
      <w:r w:rsidR="0050344E" w:rsidRPr="00954E73">
        <w:rPr>
          <w:szCs w:val="22"/>
        </w:rPr>
        <w:t xml:space="preserve"> pomocí energetického sy</w:t>
      </w:r>
      <w:r w:rsidR="00E61A16" w:rsidRPr="00954E73">
        <w:rPr>
          <w:szCs w:val="22"/>
        </w:rPr>
        <w:t>s</w:t>
      </w:r>
      <w:r w:rsidR="0050344E" w:rsidRPr="00954E73">
        <w:rPr>
          <w:szCs w:val="22"/>
        </w:rPr>
        <w:t>tému AISYS</w:t>
      </w:r>
      <w:r w:rsidR="00DB1A8D" w:rsidRPr="00954E73">
        <w:rPr>
          <w:szCs w:val="22"/>
        </w:rPr>
        <w:t xml:space="preserve">, který je ve vlastnictví </w:t>
      </w:r>
      <w:r w:rsidR="000C76DC">
        <w:rPr>
          <w:szCs w:val="22"/>
        </w:rPr>
        <w:t>objednatele</w:t>
      </w:r>
      <w:r w:rsidR="00DB1A8D" w:rsidRPr="00954E73">
        <w:rPr>
          <w:szCs w:val="22"/>
        </w:rPr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4</w:t>
      </w:r>
      <w:r w:rsidRPr="00954E73">
        <w:rPr>
          <w:b/>
          <w:szCs w:val="22"/>
        </w:rPr>
        <w:t xml:space="preserve"> Přípojka IT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Zřízení přípojky datového kabelu pro přenos dat.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Kartový automat pro </w:t>
      </w:r>
      <w:r w:rsidR="006E6537" w:rsidRPr="00954E73">
        <w:rPr>
          <w:szCs w:val="22"/>
        </w:rPr>
        <w:t>nabíjení</w:t>
      </w:r>
      <w:r w:rsidR="006F3C6F" w:rsidRPr="00954E73">
        <w:rPr>
          <w:szCs w:val="22"/>
        </w:rPr>
        <w:t>.</w:t>
      </w:r>
    </w:p>
    <w:p w:rsidR="000829E7" w:rsidRPr="00954E73" w:rsidRDefault="000829E7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5</w:t>
      </w:r>
      <w:r w:rsidRPr="00954E73">
        <w:rPr>
          <w:b/>
          <w:szCs w:val="22"/>
        </w:rPr>
        <w:t xml:space="preserve"> Kácení dřevin </w:t>
      </w:r>
    </w:p>
    <w:p w:rsidR="000829E7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t xml:space="preserve">Situace </w:t>
      </w:r>
      <w:r w:rsidRPr="00954E73">
        <w:rPr>
          <w:szCs w:val="22"/>
        </w:rPr>
        <w:t>dřevin</w:t>
      </w:r>
      <w:r w:rsidRPr="00954E73">
        <w:t xml:space="preserve"> určených ke kácení.</w:t>
      </w:r>
    </w:p>
    <w:p w:rsidR="002A36B6" w:rsidRPr="00954E73" w:rsidRDefault="002A36B6" w:rsidP="00751E5E">
      <w:pPr>
        <w:pStyle w:val="Odstavecseseznamem"/>
        <w:numPr>
          <w:ilvl w:val="0"/>
          <w:numId w:val="5"/>
        </w:numPr>
        <w:spacing w:after="200"/>
        <w:ind w:left="1134" w:hanging="567"/>
      </w:pPr>
      <w:r>
        <w:t>Případná náhradní výsadba.</w:t>
      </w:r>
    </w:p>
    <w:p w:rsidR="000829E7" w:rsidRPr="00954E73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t xml:space="preserve">Ochrana </w:t>
      </w:r>
      <w:r w:rsidRPr="00954E73">
        <w:rPr>
          <w:szCs w:val="22"/>
        </w:rPr>
        <w:t>stávajících</w:t>
      </w:r>
      <w:r w:rsidRPr="00954E73">
        <w:t xml:space="preserve"> dřevin rostoucích v blízkosti stavby dle ČSN 83 9061.</w:t>
      </w:r>
    </w:p>
    <w:p w:rsidR="000829E7" w:rsidRPr="00954E73" w:rsidRDefault="000829E7" w:rsidP="00751E5E">
      <w:pPr>
        <w:ind w:left="567"/>
        <w:rPr>
          <w:b/>
        </w:rPr>
      </w:pPr>
      <w:r w:rsidRPr="00954E73">
        <w:rPr>
          <w:b/>
        </w:rPr>
        <w:t xml:space="preserve">IO 01 </w:t>
      </w:r>
      <w:r w:rsidRPr="00954E73">
        <w:rPr>
          <w:b/>
          <w:szCs w:val="22"/>
        </w:rPr>
        <w:t>CCTV</w:t>
      </w:r>
      <w:r w:rsidRPr="00954E73">
        <w:rPr>
          <w:b/>
        </w:rPr>
        <w:t xml:space="preserve"> – kamerový systém</w:t>
      </w:r>
    </w:p>
    <w:p w:rsidR="000829E7" w:rsidRPr="00954E73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t xml:space="preserve">Kamerový systém </w:t>
      </w:r>
      <w:r w:rsidR="006E6537" w:rsidRPr="00954E73">
        <w:t>nabíjecí</w:t>
      </w:r>
      <w:r w:rsidRPr="00954E73">
        <w:t xml:space="preserve"> stanice napojený</w:t>
      </w:r>
      <w:r w:rsidR="00351B31">
        <w:t xml:space="preserve"> na centrální dispečink</w:t>
      </w:r>
      <w:r w:rsidR="00483463">
        <w:t xml:space="preserve"> objednatele</w:t>
      </w:r>
      <w:r w:rsidRPr="00954E73"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 xml:space="preserve">PS 01 Technologie </w:t>
      </w:r>
      <w:r w:rsidR="006E6537" w:rsidRPr="00954E73">
        <w:rPr>
          <w:b/>
          <w:szCs w:val="22"/>
        </w:rPr>
        <w:t>nabíjecí</w:t>
      </w:r>
      <w:r w:rsidRPr="00954E73">
        <w:rPr>
          <w:b/>
          <w:szCs w:val="22"/>
        </w:rPr>
        <w:t xml:space="preserve"> stanice </w:t>
      </w:r>
    </w:p>
    <w:p w:rsidR="000C5D05" w:rsidRPr="00954E73" w:rsidRDefault="00B77519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Nabíjecí</w:t>
      </w:r>
      <w:r w:rsidR="00C80F3E" w:rsidRPr="00954E73">
        <w:rPr>
          <w:szCs w:val="22"/>
        </w:rPr>
        <w:t xml:space="preserve"> stanice bude navržena jako </w:t>
      </w:r>
      <w:r w:rsidRPr="00954E73">
        <w:rPr>
          <w:szCs w:val="22"/>
        </w:rPr>
        <w:t>neveřejná bezobslužná.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Stanice musí před započetím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ověřit vůz i řidiče. Vůz pomocí čipu</w:t>
      </w:r>
      <w:r w:rsidR="00891A67" w:rsidRPr="00954E73">
        <w:rPr>
          <w:szCs w:val="22"/>
        </w:rPr>
        <w:t xml:space="preserve"> </w:t>
      </w:r>
      <w:r w:rsidRPr="00954E73">
        <w:rPr>
          <w:szCs w:val="22"/>
        </w:rPr>
        <w:t>(MIFARE) a řidiče pomocí karty (MIFARE DESFIRE).</w:t>
      </w:r>
    </w:p>
    <w:p w:rsidR="00B86302" w:rsidRPr="00954E73" w:rsidRDefault="00B77519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Nabíjecí</w:t>
      </w:r>
      <w:r w:rsidR="00415138" w:rsidRPr="00954E73">
        <w:rPr>
          <w:szCs w:val="22"/>
        </w:rPr>
        <w:t xml:space="preserve"> stanice</w:t>
      </w:r>
      <w:r w:rsidR="00B86302" w:rsidRPr="00954E73">
        <w:rPr>
          <w:szCs w:val="22"/>
        </w:rPr>
        <w:t xml:space="preserve"> musí být nezávislá na stavu podnikové sítě</w:t>
      </w:r>
      <w:r w:rsidR="00094532" w:rsidRPr="00954E73">
        <w:rPr>
          <w:szCs w:val="22"/>
        </w:rPr>
        <w:t xml:space="preserve"> objednatele</w:t>
      </w:r>
      <w:r w:rsidR="00B86302" w:rsidRPr="00954E73">
        <w:rPr>
          <w:szCs w:val="22"/>
        </w:rPr>
        <w:t xml:space="preserve"> </w:t>
      </w:r>
      <w:r w:rsidR="00094532" w:rsidRPr="00954E73">
        <w:rPr>
          <w:szCs w:val="22"/>
        </w:rPr>
        <w:t>(</w:t>
      </w:r>
      <w:r w:rsidR="00B86302" w:rsidRPr="00954E73">
        <w:rPr>
          <w:szCs w:val="22"/>
        </w:rPr>
        <w:t>LAN</w:t>
      </w:r>
      <w:r w:rsidR="00094532" w:rsidRPr="00954E73">
        <w:rPr>
          <w:szCs w:val="22"/>
        </w:rPr>
        <w:t>)</w:t>
      </w:r>
      <w:r w:rsidR="00B86302" w:rsidRPr="00954E73">
        <w:rPr>
          <w:szCs w:val="22"/>
        </w:rPr>
        <w:t>.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lastRenderedPageBreak/>
        <w:t xml:space="preserve">Informace o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musí být primárně  ukládány v říd</w:t>
      </w:r>
      <w:r w:rsidR="00094532" w:rsidRPr="00954E73">
        <w:rPr>
          <w:szCs w:val="22"/>
        </w:rPr>
        <w:t>i</w:t>
      </w:r>
      <w:r w:rsidRPr="00954E73">
        <w:rPr>
          <w:szCs w:val="22"/>
        </w:rPr>
        <w:t xml:space="preserve">cím systému </w:t>
      </w:r>
      <w:r w:rsidR="00B77519" w:rsidRPr="00954E73">
        <w:rPr>
          <w:szCs w:val="22"/>
        </w:rPr>
        <w:t xml:space="preserve">nabíjecí </w:t>
      </w:r>
      <w:r w:rsidR="00415138" w:rsidRPr="00954E73">
        <w:rPr>
          <w:szCs w:val="22"/>
        </w:rPr>
        <w:t>stanice</w:t>
      </w:r>
      <w:r w:rsidRPr="00954E73">
        <w:rPr>
          <w:szCs w:val="22"/>
        </w:rPr>
        <w:t xml:space="preserve"> (režim offline) a až následně přenášeny do stávajícího </w:t>
      </w:r>
      <w:r w:rsidR="00415138" w:rsidRPr="00954E73">
        <w:rPr>
          <w:szCs w:val="22"/>
        </w:rPr>
        <w:t>informačního systému</w:t>
      </w:r>
      <w:r w:rsidRPr="00954E73">
        <w:rPr>
          <w:szCs w:val="22"/>
        </w:rPr>
        <w:t xml:space="preserve"> WINMISS, který slouží pro řízení přístupů a zpracování údajů o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vozidel. 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Říd</w:t>
      </w:r>
      <w:r w:rsidR="00FC73AC" w:rsidRPr="00954E73">
        <w:rPr>
          <w:szCs w:val="22"/>
        </w:rPr>
        <w:t>i</w:t>
      </w:r>
      <w:r w:rsidRPr="00954E73">
        <w:rPr>
          <w:szCs w:val="22"/>
        </w:rPr>
        <w:t xml:space="preserve">cí systém </w:t>
      </w:r>
      <w:r w:rsidR="00B77519" w:rsidRPr="00954E73">
        <w:rPr>
          <w:szCs w:val="22"/>
        </w:rPr>
        <w:t>nabíjecí</w:t>
      </w:r>
      <w:r w:rsidR="00415138" w:rsidRPr="00954E73">
        <w:rPr>
          <w:szCs w:val="22"/>
        </w:rPr>
        <w:t xml:space="preserve"> stanice</w:t>
      </w:r>
      <w:r w:rsidRPr="00954E73">
        <w:rPr>
          <w:szCs w:val="22"/>
        </w:rPr>
        <w:t xml:space="preserve"> musí být připojen k záložnímu zdroji napájení a v případě výpadku primárního napájení (ze sítě) záložní zdroj umožní regulérní ukončení říd</w:t>
      </w:r>
      <w:r w:rsidR="00094532" w:rsidRPr="00954E73">
        <w:rPr>
          <w:szCs w:val="22"/>
        </w:rPr>
        <w:t>i</w:t>
      </w:r>
      <w:r w:rsidRPr="00954E73">
        <w:rPr>
          <w:szCs w:val="22"/>
        </w:rPr>
        <w:t xml:space="preserve">cího systému </w:t>
      </w:r>
      <w:r w:rsidR="00B77519" w:rsidRPr="00954E73">
        <w:rPr>
          <w:szCs w:val="22"/>
        </w:rPr>
        <w:t>nabíjecí</w:t>
      </w:r>
      <w:r w:rsidR="00FC73AC" w:rsidRPr="00954E73">
        <w:rPr>
          <w:szCs w:val="22"/>
        </w:rPr>
        <w:t xml:space="preserve"> sta</w:t>
      </w:r>
      <w:r w:rsidR="00415138" w:rsidRPr="00954E73">
        <w:rPr>
          <w:szCs w:val="22"/>
        </w:rPr>
        <w:t>nice</w:t>
      </w:r>
      <w:r w:rsidRPr="00954E73">
        <w:rPr>
          <w:szCs w:val="22"/>
        </w:rPr>
        <w:t>.</w:t>
      </w:r>
    </w:p>
    <w:p w:rsidR="00B86302" w:rsidRPr="00954E73" w:rsidRDefault="00B77519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Nabíjecí</w:t>
      </w:r>
      <w:r w:rsidR="00415138" w:rsidRPr="00954E73">
        <w:rPr>
          <w:szCs w:val="22"/>
        </w:rPr>
        <w:t xml:space="preserve"> stanice </w:t>
      </w:r>
      <w:r w:rsidR="00B86302" w:rsidRPr="00954E73">
        <w:rPr>
          <w:szCs w:val="22"/>
        </w:rPr>
        <w:t xml:space="preserve">bude poskytovat denní přehled </w:t>
      </w:r>
      <w:r w:rsidRPr="00954E73">
        <w:rPr>
          <w:szCs w:val="22"/>
        </w:rPr>
        <w:t xml:space="preserve">nabíjení </w:t>
      </w:r>
      <w:r w:rsidR="00B86302" w:rsidRPr="00954E73">
        <w:rPr>
          <w:szCs w:val="22"/>
        </w:rPr>
        <w:t xml:space="preserve">vozidel. Tyto údaje, budou předány formou dodatečně specifikované datové věty pro import do evidence </w:t>
      </w:r>
      <w:r w:rsidR="00094532" w:rsidRPr="00954E73">
        <w:rPr>
          <w:szCs w:val="22"/>
        </w:rPr>
        <w:t>objednatele</w:t>
      </w:r>
      <w:r w:rsidR="00B86302" w:rsidRPr="00954E73">
        <w:rPr>
          <w:szCs w:val="22"/>
        </w:rPr>
        <w:t xml:space="preserve"> </w:t>
      </w:r>
      <w:r w:rsidR="00415138" w:rsidRPr="00954E73">
        <w:rPr>
          <w:szCs w:val="22"/>
        </w:rPr>
        <w:t>informační</w:t>
      </w:r>
      <w:r w:rsidR="00D9236F" w:rsidRPr="00954E73">
        <w:rPr>
          <w:szCs w:val="22"/>
        </w:rPr>
        <w:t>ho</w:t>
      </w:r>
      <w:r w:rsidR="00415138" w:rsidRPr="00954E73">
        <w:rPr>
          <w:szCs w:val="22"/>
        </w:rPr>
        <w:t xml:space="preserve"> systém</w:t>
      </w:r>
      <w:r w:rsidR="00D9236F" w:rsidRPr="00954E73">
        <w:rPr>
          <w:szCs w:val="22"/>
        </w:rPr>
        <w:t>u</w:t>
      </w:r>
      <w:r w:rsidR="00B86302" w:rsidRPr="00954E73">
        <w:rPr>
          <w:szCs w:val="22"/>
        </w:rPr>
        <w:t xml:space="preserve"> WINMISS. Tento denní přehled plnění do vozidel (od 00:00 hod do 24:00 hod) bude doručen vždy následující pracovní den po uskutečnění </w:t>
      </w:r>
      <w:r w:rsidRPr="00954E73">
        <w:rPr>
          <w:szCs w:val="22"/>
        </w:rPr>
        <w:t>nabíjení</w:t>
      </w:r>
      <w:r w:rsidR="00B86302" w:rsidRPr="00954E73">
        <w:rPr>
          <w:szCs w:val="22"/>
        </w:rPr>
        <w:t xml:space="preserve"> do vozidel do 04:00 hod ráno. V případě, že </w:t>
      </w:r>
      <w:r w:rsidRPr="00954E73">
        <w:rPr>
          <w:szCs w:val="22"/>
        </w:rPr>
        <w:t>nabíjení</w:t>
      </w:r>
      <w:r w:rsidR="00B86302" w:rsidRPr="00954E73">
        <w:rPr>
          <w:szCs w:val="22"/>
        </w:rPr>
        <w:t xml:space="preserve"> proběhne v mimopracovní den/dny, pak pracovní den následující po tomto/těchto mimopracovních dnech do 04:00 hod ráno souhrnně.</w:t>
      </w:r>
    </w:p>
    <w:p w:rsidR="00FC73AC" w:rsidRPr="00954E73" w:rsidRDefault="00D93882" w:rsidP="00300683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Předávání informací o stavu technologie do informačního systému provozovaného </w:t>
      </w:r>
      <w:r w:rsidR="000C76DC">
        <w:rPr>
          <w:szCs w:val="22"/>
        </w:rPr>
        <w:t>objednavatelem</w:t>
      </w:r>
    </w:p>
    <w:p w:rsidR="0056048F" w:rsidRPr="00954E73" w:rsidRDefault="00C80F3E" w:rsidP="00300683">
      <w:pPr>
        <w:pStyle w:val="Odstavecseseznamem"/>
        <w:numPr>
          <w:ilvl w:val="0"/>
          <w:numId w:val="5"/>
        </w:numPr>
        <w:spacing w:after="0"/>
        <w:ind w:left="1134" w:hanging="567"/>
      </w:pPr>
      <w:r w:rsidRPr="00954E73">
        <w:rPr>
          <w:szCs w:val="22"/>
        </w:rPr>
        <w:t xml:space="preserve">Součástí tohoto PS bude dále </w:t>
      </w:r>
      <w:r w:rsidR="00FC73AC" w:rsidRPr="00954E73">
        <w:rPr>
          <w:szCs w:val="22"/>
        </w:rPr>
        <w:t>rozv</w:t>
      </w:r>
      <w:r w:rsidR="00954E73" w:rsidRPr="00954E73">
        <w:rPr>
          <w:szCs w:val="22"/>
        </w:rPr>
        <w:t>ržení nabíjecích stojanů.</w:t>
      </w:r>
    </w:p>
    <w:sectPr w:rsidR="0056048F" w:rsidRPr="00954E73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40" w:rsidRDefault="00641340" w:rsidP="00360830">
      <w:r>
        <w:separator/>
      </w:r>
    </w:p>
  </w:endnote>
  <w:endnote w:type="continuationSeparator" w:id="0">
    <w:p w:rsidR="00641340" w:rsidRDefault="0064134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5A4E6A" w:rsidRDefault="005A4E6A" w:rsidP="007115AB">
            <w:pPr>
              <w:pStyle w:val="Zpat"/>
            </w:pPr>
            <w:r w:rsidRPr="007115AB">
              <w:rPr>
                <w:i/>
              </w:rPr>
              <w:t>„Zřízení linky elektrobusů do průmyslové zóny Hrabová II“</w:t>
            </w:r>
            <w:r>
              <w:rPr>
                <w:i/>
                <w:sz w:val="20"/>
                <w:szCs w:val="20"/>
              </w:rPr>
              <w:tab/>
            </w:r>
            <w:r>
              <w:t xml:space="preserve">Stránka </w:t>
            </w:r>
            <w:r w:rsidR="003561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561E0">
              <w:rPr>
                <w:b/>
                <w:sz w:val="24"/>
                <w:szCs w:val="24"/>
              </w:rPr>
              <w:fldChar w:fldCharType="separate"/>
            </w:r>
            <w:r w:rsidR="00517F05">
              <w:rPr>
                <w:b/>
                <w:noProof/>
              </w:rPr>
              <w:t>2</w:t>
            </w:r>
            <w:r w:rsidR="003561E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61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561E0">
              <w:rPr>
                <w:b/>
                <w:sz w:val="24"/>
                <w:szCs w:val="24"/>
              </w:rPr>
              <w:fldChar w:fldCharType="separate"/>
            </w:r>
            <w:r w:rsidR="00517F05">
              <w:rPr>
                <w:b/>
                <w:noProof/>
              </w:rPr>
              <w:t>3</w:t>
            </w:r>
            <w:r w:rsidR="003561E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517F05">
      <w:fldChar w:fldCharType="begin"/>
    </w:r>
    <w:r w:rsidR="00517F05">
      <w:instrText xml:space="preserve"> PAGE   \* MERGEFORMAT </w:instrText>
    </w:r>
    <w:r w:rsidR="00517F05">
      <w:fldChar w:fldCharType="separate"/>
    </w:r>
    <w:r w:rsidRPr="007C7B0D">
      <w:rPr>
        <w:rFonts w:asciiTheme="majorHAnsi" w:hAnsiTheme="majorHAnsi"/>
        <w:noProof/>
      </w:rPr>
      <w:t>1</w:t>
    </w:r>
    <w:r w:rsidR="00517F05">
      <w:rPr>
        <w:rFonts w:asciiTheme="majorHAnsi" w:hAnsiTheme="majorHAnsi"/>
        <w:noProof/>
      </w:rPr>
      <w:fldChar w:fldCharType="end"/>
    </w:r>
  </w:p>
  <w:p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40" w:rsidRDefault="00641340" w:rsidP="00360830">
      <w:r>
        <w:separator/>
      </w:r>
    </w:p>
  </w:footnote>
  <w:footnote w:type="continuationSeparator" w:id="0">
    <w:p w:rsidR="00641340" w:rsidRDefault="0064134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E6A" w:rsidRPr="00CC546B" w:rsidRDefault="005A4E6A">
    <w:pPr>
      <w:pStyle w:val="Zhlav"/>
      <w:rPr>
        <w:rFonts w:ascii="Times New Roman" w:hAnsi="Times New Roman" w:cs="Times New Roman"/>
      </w:rPr>
    </w:pPr>
    <w:r w:rsidRPr="00CC546B">
      <w:rPr>
        <w:rFonts w:ascii="Times New Roman" w:hAnsi="Times New Roman" w:cs="Times New Roman"/>
        <w:i/>
      </w:rPr>
      <w:t>Příloha č. 3 ZD – Požadavky na vyhotovení studie proveditelnosti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E6A" w:rsidRDefault="005A4E6A" w:rsidP="00835590">
    <w:pPr>
      <w:pStyle w:val="Zhlav"/>
      <w:spacing w:before="120"/>
    </w:pPr>
  </w:p>
  <w:p w:rsidR="005A4E6A" w:rsidRDefault="005A4E6A" w:rsidP="00835590">
    <w:pPr>
      <w:pStyle w:val="Zhlav"/>
      <w:spacing w:before="120"/>
    </w:pPr>
  </w:p>
  <w:p w:rsidR="005A4E6A" w:rsidRDefault="005A4E6A" w:rsidP="00835590">
    <w:pPr>
      <w:pStyle w:val="Zhlav"/>
      <w:spacing w:before="120"/>
    </w:pPr>
  </w:p>
  <w:p w:rsidR="005A4E6A" w:rsidRDefault="005A4E6A" w:rsidP="00835590">
    <w:pPr>
      <w:pStyle w:val="Zhlav"/>
      <w:spacing w:before="120"/>
    </w:pPr>
  </w:p>
  <w:p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9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9"/>
  </w:num>
  <w:num w:numId="19">
    <w:abstractNumId w:val="3"/>
  </w:num>
  <w:num w:numId="20">
    <w:abstractNumId w:val="3"/>
  </w:num>
  <w:num w:numId="2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43AB5"/>
    <w:rsid w:val="0004443E"/>
    <w:rsid w:val="00066573"/>
    <w:rsid w:val="0007345D"/>
    <w:rsid w:val="000829E7"/>
    <w:rsid w:val="00086411"/>
    <w:rsid w:val="00094532"/>
    <w:rsid w:val="00094C52"/>
    <w:rsid w:val="00097551"/>
    <w:rsid w:val="000A5756"/>
    <w:rsid w:val="000A59BF"/>
    <w:rsid w:val="000C4E61"/>
    <w:rsid w:val="000C5B9D"/>
    <w:rsid w:val="000C5D05"/>
    <w:rsid w:val="000C76DC"/>
    <w:rsid w:val="000D6BA9"/>
    <w:rsid w:val="000E5AE1"/>
    <w:rsid w:val="000F5167"/>
    <w:rsid w:val="001040DE"/>
    <w:rsid w:val="00110139"/>
    <w:rsid w:val="0011553B"/>
    <w:rsid w:val="00131C2F"/>
    <w:rsid w:val="00133623"/>
    <w:rsid w:val="001338B3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974"/>
    <w:rsid w:val="002A36B6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60830"/>
    <w:rsid w:val="00362826"/>
    <w:rsid w:val="00363282"/>
    <w:rsid w:val="00364FBB"/>
    <w:rsid w:val="003773C9"/>
    <w:rsid w:val="003865A9"/>
    <w:rsid w:val="003B028C"/>
    <w:rsid w:val="003B30A8"/>
    <w:rsid w:val="003B74C1"/>
    <w:rsid w:val="003C0EB6"/>
    <w:rsid w:val="003D02B6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234C6"/>
    <w:rsid w:val="00423F56"/>
    <w:rsid w:val="00440A37"/>
    <w:rsid w:val="0044373A"/>
    <w:rsid w:val="00450110"/>
    <w:rsid w:val="004739E5"/>
    <w:rsid w:val="00475E49"/>
    <w:rsid w:val="00483463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7F05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681E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11987"/>
    <w:rsid w:val="00614136"/>
    <w:rsid w:val="00614DFC"/>
    <w:rsid w:val="006207E2"/>
    <w:rsid w:val="0062272D"/>
    <w:rsid w:val="00626E50"/>
    <w:rsid w:val="0064134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C67B4"/>
    <w:rsid w:val="006D064D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17BF"/>
    <w:rsid w:val="007437C4"/>
    <w:rsid w:val="00751E5E"/>
    <w:rsid w:val="00753844"/>
    <w:rsid w:val="007623A2"/>
    <w:rsid w:val="00762CCD"/>
    <w:rsid w:val="00786A3B"/>
    <w:rsid w:val="00786B6C"/>
    <w:rsid w:val="007B131A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2218"/>
    <w:rsid w:val="00834987"/>
    <w:rsid w:val="00835590"/>
    <w:rsid w:val="00836A46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B2BEF"/>
    <w:rsid w:val="008C13AA"/>
    <w:rsid w:val="008F0855"/>
    <w:rsid w:val="008F3EB7"/>
    <w:rsid w:val="008F60FE"/>
    <w:rsid w:val="008F6179"/>
    <w:rsid w:val="00904DA8"/>
    <w:rsid w:val="009163F5"/>
    <w:rsid w:val="009262FF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A5912"/>
    <w:rsid w:val="009B5230"/>
    <w:rsid w:val="009B7CF2"/>
    <w:rsid w:val="009D31B6"/>
    <w:rsid w:val="009D4B12"/>
    <w:rsid w:val="009D7B8D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5052F"/>
    <w:rsid w:val="00A57DEB"/>
    <w:rsid w:val="00A713E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968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522C5"/>
    <w:rsid w:val="00B53E27"/>
    <w:rsid w:val="00B56524"/>
    <w:rsid w:val="00B5659A"/>
    <w:rsid w:val="00B63507"/>
    <w:rsid w:val="00B7019C"/>
    <w:rsid w:val="00B710D7"/>
    <w:rsid w:val="00B71CC3"/>
    <w:rsid w:val="00B77519"/>
    <w:rsid w:val="00B80FF3"/>
    <w:rsid w:val="00B86302"/>
    <w:rsid w:val="00BA084F"/>
    <w:rsid w:val="00BC236D"/>
    <w:rsid w:val="00C0719D"/>
    <w:rsid w:val="00C162A1"/>
    <w:rsid w:val="00C21181"/>
    <w:rsid w:val="00C22D4F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E0027"/>
    <w:rsid w:val="00CE1C75"/>
    <w:rsid w:val="00CE6C4F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E0087C"/>
    <w:rsid w:val="00E17BCD"/>
    <w:rsid w:val="00E27561"/>
    <w:rsid w:val="00E367B5"/>
    <w:rsid w:val="00E41057"/>
    <w:rsid w:val="00E608B2"/>
    <w:rsid w:val="00E61A16"/>
    <w:rsid w:val="00E66AC2"/>
    <w:rsid w:val="00E67118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E2F17"/>
    <w:rsid w:val="00EE3A5A"/>
    <w:rsid w:val="00F04EA3"/>
    <w:rsid w:val="00F11F77"/>
    <w:rsid w:val="00F234B1"/>
    <w:rsid w:val="00F30701"/>
    <w:rsid w:val="00F309A4"/>
    <w:rsid w:val="00F405C1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/>
    <o:shapelayout v:ext="edit">
      <o:idmap v:ext="edit" data="1"/>
    </o:shapelayout>
  </w:shapeDefaults>
  <w:decimalSymbol w:val=","/>
  <w:listSeparator w:val=";"/>
  <w15:docId w15:val="{83EF867A-559D-4861-A928-8A468E50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570A0-E9E6-4474-B591-E3DEE13C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2019-04-08T09:46:00Z</dcterms:created>
  <dcterms:modified xsi:type="dcterms:W3CDTF">2019-04-08T09:46:00Z</dcterms:modified>
</cp:coreProperties>
</file>