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0FA" w:rsidRPr="002862F4" w:rsidRDefault="002510FA">
      <w:pPr>
        <w:pStyle w:val="Nadpis2"/>
        <w:rPr>
          <w:b w:val="0"/>
          <w:i/>
          <w:color w:val="0070C0"/>
          <w:u w:val="none"/>
        </w:rPr>
      </w:pPr>
      <w:bookmarkStart w:id="0" w:name="_GoBack"/>
      <w:bookmarkEnd w:id="0"/>
      <w:r w:rsidRPr="002862F4">
        <w:t>Čestné prohlášení dodavatele</w:t>
      </w:r>
      <w:r w:rsidR="00B16BC2" w:rsidRPr="002862F4">
        <w:t xml:space="preserve"> veřejné zakázky</w:t>
      </w:r>
      <w:r w:rsidR="00F73271" w:rsidRPr="002862F4">
        <w:t xml:space="preserve"> </w:t>
      </w:r>
    </w:p>
    <w:p w:rsidR="002510FA" w:rsidRPr="002862F4" w:rsidRDefault="002510FA">
      <w:pPr>
        <w:pStyle w:val="Nadpis1"/>
      </w:pPr>
    </w:p>
    <w:p w:rsidR="002510FA" w:rsidRPr="002862F4" w:rsidRDefault="002510FA" w:rsidP="00C911DD">
      <w:pPr>
        <w:jc w:val="both"/>
        <w:rPr>
          <w:bCs/>
        </w:rPr>
      </w:pPr>
      <w:r w:rsidRPr="002862F4">
        <w:rPr>
          <w:bCs/>
        </w:rPr>
        <w:t xml:space="preserve">na </w:t>
      </w:r>
      <w:r w:rsidR="00C033F3" w:rsidRPr="002862F4">
        <w:rPr>
          <w:bCs/>
        </w:rPr>
        <w:t xml:space="preserve">seznam a prohlášení k § 68 odst. 3 zákona č. 137/2006 Sb., o veřejných zakázkách, v platném znění (dále jen "Zákon") </w:t>
      </w:r>
      <w:r w:rsidR="00E12BF9" w:rsidRPr="002862F4">
        <w:rPr>
          <w:bCs/>
        </w:rPr>
        <w:t>pro zjednodušené podlimitní řízení</w:t>
      </w:r>
      <w:r w:rsidR="00293422" w:rsidRPr="002862F4">
        <w:rPr>
          <w:bCs/>
        </w:rPr>
        <w:t xml:space="preserve"> veřejné zakázky</w:t>
      </w:r>
      <w:r w:rsidRPr="002862F4">
        <w:rPr>
          <w:bCs/>
        </w:rPr>
        <w:t xml:space="preserve"> </w:t>
      </w:r>
      <w:r w:rsidR="00C911DD" w:rsidRPr="002862F4">
        <w:rPr>
          <w:bCs/>
        </w:rPr>
        <w:t>„</w:t>
      </w:r>
      <w:r w:rsidR="00266DC9">
        <w:rPr>
          <w:bCs/>
        </w:rPr>
        <w:t xml:space="preserve">Prvky aktivní </w:t>
      </w:r>
      <w:r w:rsidR="00162367">
        <w:rPr>
          <w:bCs/>
        </w:rPr>
        <w:t>bezpečno</w:t>
      </w:r>
      <w:r w:rsidR="00266DC9">
        <w:rPr>
          <w:bCs/>
        </w:rPr>
        <w:t>sti“</w:t>
      </w:r>
      <w:r w:rsidR="00C033F3" w:rsidRPr="002862F4">
        <w:rPr>
          <w:bCs/>
        </w:rPr>
        <w:t>.</w:t>
      </w:r>
    </w:p>
    <w:p w:rsidR="002510FA" w:rsidRPr="002862F4" w:rsidRDefault="002510FA">
      <w:pPr>
        <w:jc w:val="both"/>
      </w:pPr>
    </w:p>
    <w:p w:rsidR="00B4006E" w:rsidRPr="002862F4" w:rsidRDefault="00BA018C" w:rsidP="00C033F3">
      <w:pPr>
        <w:pStyle w:val="Zkladntext"/>
      </w:pPr>
      <w:r w:rsidRPr="002862F4">
        <w:t xml:space="preserve">Dodavatel </w:t>
      </w:r>
      <w:r w:rsidRPr="002862F4">
        <w:rPr>
          <w:highlight w:val="yellow"/>
        </w:rPr>
        <w:t>…</w:t>
      </w:r>
      <w:r w:rsidRPr="002862F4">
        <w:t xml:space="preserve"> se sídlem </w:t>
      </w:r>
      <w:r w:rsidRPr="002862F4">
        <w:rPr>
          <w:highlight w:val="yellow"/>
        </w:rPr>
        <w:t>…</w:t>
      </w:r>
      <w:r w:rsidRPr="002862F4">
        <w:t>, IČ</w:t>
      </w:r>
      <w:r w:rsidRPr="002862F4">
        <w:rPr>
          <w:highlight w:val="yellow"/>
        </w:rPr>
        <w:t>: …</w:t>
      </w:r>
      <w:r w:rsidRPr="002862F4">
        <w:t>, prohlašuje, že</w:t>
      </w:r>
      <w:r w:rsidR="00C033F3" w:rsidRPr="002862F4">
        <w:t>:</w:t>
      </w:r>
      <w:r w:rsidRPr="002862F4">
        <w:t xml:space="preserve"> </w:t>
      </w:r>
    </w:p>
    <w:p w:rsidR="00605123" w:rsidRPr="002862F4" w:rsidRDefault="00605123" w:rsidP="004D31FC">
      <w:pPr>
        <w:jc w:val="both"/>
      </w:pPr>
    </w:p>
    <w:p w:rsidR="00C033F3" w:rsidRPr="002862F4" w:rsidRDefault="00C033F3" w:rsidP="00C033F3">
      <w:pPr>
        <w:autoSpaceDE w:val="0"/>
        <w:autoSpaceDN w:val="0"/>
        <w:spacing w:after="120"/>
        <w:ind w:left="425" w:hanging="425"/>
        <w:jc w:val="both"/>
        <w:rPr>
          <w:rFonts w:cs="Arial"/>
        </w:rPr>
      </w:pPr>
      <w:r w:rsidRPr="002862F4">
        <w:rPr>
          <w:rFonts w:cs="Arial"/>
        </w:rPr>
        <w:t>a)</w:t>
      </w:r>
      <w:r w:rsidRPr="002862F4">
        <w:rPr>
          <w:rFonts w:cs="Arial"/>
        </w:rPr>
        <w:tab/>
        <w:t>seznam statutárních orgánů nebo členů statutárních orgánů, kteří v posledních 3 letech od konce lhůty pro podání nabídek byli v pracovněprávním, funkčním či obdobném poměru u zadavatele je následující:</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9"/>
      </w:tblGrid>
      <w:tr w:rsidR="00C033F3" w:rsidRPr="002862F4" w:rsidTr="002862F4">
        <w:tc>
          <w:tcPr>
            <w:tcW w:w="8788" w:type="dxa"/>
          </w:tcPr>
          <w:p w:rsidR="00C033F3" w:rsidRPr="002862F4" w:rsidRDefault="00C033F3" w:rsidP="00C033F3">
            <w:pPr>
              <w:autoSpaceDE w:val="0"/>
              <w:autoSpaceDN w:val="0"/>
              <w:jc w:val="both"/>
              <w:rPr>
                <w:rFonts w:cs="Arial"/>
              </w:rPr>
            </w:pPr>
            <w:r w:rsidRPr="002862F4">
              <w:rPr>
                <w:rFonts w:cs="Arial"/>
              </w:rPr>
              <w:t>Jméno a příjmení či název statutárního orgánu</w:t>
            </w:r>
          </w:p>
        </w:tc>
      </w:tr>
      <w:tr w:rsidR="00C033F3" w:rsidRPr="002862F4" w:rsidTr="002862F4">
        <w:tc>
          <w:tcPr>
            <w:tcW w:w="8788" w:type="dxa"/>
          </w:tcPr>
          <w:p w:rsidR="00C033F3" w:rsidRPr="002862F4" w:rsidRDefault="00C033F3" w:rsidP="00C033F3">
            <w:pPr>
              <w:autoSpaceDE w:val="0"/>
              <w:autoSpaceDN w:val="0"/>
              <w:jc w:val="both"/>
              <w:rPr>
                <w:rFonts w:cs="Arial"/>
              </w:rPr>
            </w:pPr>
          </w:p>
        </w:tc>
      </w:tr>
      <w:tr w:rsidR="00C033F3" w:rsidRPr="002862F4" w:rsidTr="002862F4">
        <w:tc>
          <w:tcPr>
            <w:tcW w:w="8788" w:type="dxa"/>
          </w:tcPr>
          <w:p w:rsidR="00C033F3" w:rsidRPr="002862F4" w:rsidRDefault="00C033F3" w:rsidP="00C033F3">
            <w:pPr>
              <w:autoSpaceDE w:val="0"/>
              <w:autoSpaceDN w:val="0"/>
              <w:jc w:val="both"/>
              <w:rPr>
                <w:rFonts w:cs="Arial"/>
              </w:rPr>
            </w:pPr>
          </w:p>
        </w:tc>
      </w:tr>
      <w:tr w:rsidR="00C033F3" w:rsidRPr="002862F4" w:rsidTr="002862F4">
        <w:tc>
          <w:tcPr>
            <w:tcW w:w="8788" w:type="dxa"/>
          </w:tcPr>
          <w:p w:rsidR="00C033F3" w:rsidRPr="002862F4" w:rsidRDefault="00C033F3" w:rsidP="00C033F3">
            <w:pPr>
              <w:autoSpaceDE w:val="0"/>
              <w:autoSpaceDN w:val="0"/>
              <w:rPr>
                <w:rFonts w:cs="Arial"/>
              </w:rPr>
            </w:pPr>
          </w:p>
        </w:tc>
      </w:tr>
      <w:tr w:rsidR="00C033F3" w:rsidRPr="002862F4" w:rsidTr="002862F4">
        <w:tc>
          <w:tcPr>
            <w:tcW w:w="8788" w:type="dxa"/>
          </w:tcPr>
          <w:p w:rsidR="00C033F3" w:rsidRPr="002862F4" w:rsidRDefault="00C033F3" w:rsidP="00C033F3">
            <w:pPr>
              <w:autoSpaceDE w:val="0"/>
              <w:autoSpaceDN w:val="0"/>
              <w:jc w:val="both"/>
              <w:rPr>
                <w:rFonts w:cs="Arial"/>
              </w:rPr>
            </w:pPr>
          </w:p>
        </w:tc>
      </w:tr>
      <w:tr w:rsidR="00C033F3" w:rsidRPr="002862F4" w:rsidTr="002862F4">
        <w:tc>
          <w:tcPr>
            <w:tcW w:w="8788" w:type="dxa"/>
          </w:tcPr>
          <w:p w:rsidR="00C033F3" w:rsidRPr="002862F4" w:rsidRDefault="00C033F3" w:rsidP="00C033F3">
            <w:pPr>
              <w:autoSpaceDE w:val="0"/>
              <w:autoSpaceDN w:val="0"/>
              <w:jc w:val="both"/>
              <w:rPr>
                <w:rFonts w:cs="Arial"/>
              </w:rPr>
            </w:pPr>
          </w:p>
        </w:tc>
      </w:tr>
      <w:tr w:rsidR="00C033F3" w:rsidRPr="002862F4" w:rsidTr="002862F4">
        <w:tc>
          <w:tcPr>
            <w:tcW w:w="8788" w:type="dxa"/>
          </w:tcPr>
          <w:p w:rsidR="00C033F3" w:rsidRPr="002862F4" w:rsidRDefault="00C033F3" w:rsidP="00C033F3">
            <w:pPr>
              <w:autoSpaceDE w:val="0"/>
              <w:autoSpaceDN w:val="0"/>
              <w:jc w:val="both"/>
              <w:rPr>
                <w:rFonts w:cs="Arial"/>
              </w:rPr>
            </w:pPr>
          </w:p>
        </w:tc>
      </w:tr>
    </w:tbl>
    <w:p w:rsidR="00C033F3" w:rsidRPr="002862F4" w:rsidRDefault="00C033F3" w:rsidP="00C033F3">
      <w:pPr>
        <w:autoSpaceDE w:val="0"/>
        <w:autoSpaceDN w:val="0"/>
        <w:spacing w:before="120"/>
        <w:ind w:left="425" w:hanging="329"/>
        <w:jc w:val="both"/>
        <w:rPr>
          <w:rFonts w:cs="Arial"/>
        </w:rPr>
      </w:pPr>
      <w:r w:rsidRPr="002862F4">
        <w:rPr>
          <w:rFonts w:cs="Arial"/>
        </w:rPr>
        <w:tab/>
        <w:t xml:space="preserve">Prohlašujeme, že je-li výše uvedená tabulka prázdná či je proškrtnuta či je vyplněna jiným způsobem než uvedením identifikačních údajů členů statutárních orgánů nebo identifikačních údajů statutárních orgánů, poté žádný ze statutárních orgánů nebo členů statutárních orgánů v posledních 3 letech od konce lhůty pro podání nabídek nebyl v pracovněprávním, funkčním či obdobném poměru u zadavatele. Je-li výše uvedená tabulka vyplněna identifikačními údaji statutárních orgánů nebo členů statutárních orgánů, předchozí věta není uplatněna. </w:t>
      </w:r>
    </w:p>
    <w:p w:rsidR="00C033F3" w:rsidRPr="002862F4" w:rsidRDefault="00C033F3" w:rsidP="00C033F3">
      <w:pPr>
        <w:autoSpaceDE w:val="0"/>
        <w:autoSpaceDN w:val="0"/>
        <w:ind w:left="990" w:hanging="330"/>
        <w:jc w:val="both"/>
        <w:rPr>
          <w:rFonts w:cs="Arial"/>
          <w:b/>
        </w:rPr>
      </w:pPr>
    </w:p>
    <w:p w:rsidR="00C033F3" w:rsidRPr="002862F4" w:rsidRDefault="00C033F3" w:rsidP="00C033F3">
      <w:pPr>
        <w:autoSpaceDE w:val="0"/>
        <w:autoSpaceDN w:val="0"/>
        <w:spacing w:after="120"/>
        <w:ind w:left="425" w:hanging="425"/>
        <w:jc w:val="both"/>
        <w:rPr>
          <w:rFonts w:cs="Arial"/>
          <w:b/>
        </w:rPr>
      </w:pPr>
      <w:r w:rsidRPr="002862F4">
        <w:rPr>
          <w:rFonts w:cs="Arial"/>
          <w:b/>
        </w:rPr>
        <w:t>b)</w:t>
      </w:r>
      <w:r w:rsidRPr="002862F4">
        <w:rPr>
          <w:rFonts w:cs="Arial"/>
          <w:b/>
        </w:rPr>
        <w:tab/>
        <w:t>máme-li formu akciové společnosti, seznam vlastníků akcií, jejichž souhrnná jmenovitá hodnota přesahuje 10 % základního kapitálu, vyhotovený ve lhůtě pro podání nabídek je následující:</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9"/>
      </w:tblGrid>
      <w:tr w:rsidR="00C033F3" w:rsidRPr="002862F4" w:rsidTr="002862F4">
        <w:tc>
          <w:tcPr>
            <w:tcW w:w="8788" w:type="dxa"/>
          </w:tcPr>
          <w:p w:rsidR="00C033F3" w:rsidRPr="002862F4" w:rsidRDefault="00C033F3" w:rsidP="00C033F3">
            <w:pPr>
              <w:autoSpaceDE w:val="0"/>
              <w:autoSpaceDN w:val="0"/>
              <w:jc w:val="both"/>
              <w:rPr>
                <w:rFonts w:cs="Arial"/>
              </w:rPr>
            </w:pPr>
            <w:r w:rsidRPr="002862F4">
              <w:rPr>
                <w:rFonts w:cs="Arial"/>
              </w:rPr>
              <w:t xml:space="preserve">Identifikační údaje - Vlastník akcií vč. uvedení podílu na základním kapitálu </w:t>
            </w:r>
          </w:p>
        </w:tc>
      </w:tr>
      <w:tr w:rsidR="00C033F3" w:rsidRPr="002862F4" w:rsidTr="002862F4">
        <w:tc>
          <w:tcPr>
            <w:tcW w:w="8788" w:type="dxa"/>
          </w:tcPr>
          <w:p w:rsidR="00C033F3" w:rsidRPr="002862F4" w:rsidRDefault="00C033F3" w:rsidP="00C033F3">
            <w:pPr>
              <w:autoSpaceDE w:val="0"/>
              <w:autoSpaceDN w:val="0"/>
              <w:jc w:val="both"/>
              <w:rPr>
                <w:rFonts w:cs="Arial"/>
              </w:rPr>
            </w:pPr>
          </w:p>
        </w:tc>
      </w:tr>
      <w:tr w:rsidR="00C033F3" w:rsidRPr="002862F4" w:rsidTr="002862F4">
        <w:tc>
          <w:tcPr>
            <w:tcW w:w="8788" w:type="dxa"/>
          </w:tcPr>
          <w:p w:rsidR="00C033F3" w:rsidRPr="002862F4" w:rsidRDefault="00C033F3" w:rsidP="00C033F3">
            <w:pPr>
              <w:autoSpaceDE w:val="0"/>
              <w:autoSpaceDN w:val="0"/>
              <w:jc w:val="both"/>
              <w:rPr>
                <w:rFonts w:cs="Arial"/>
              </w:rPr>
            </w:pPr>
          </w:p>
        </w:tc>
      </w:tr>
      <w:tr w:rsidR="00C033F3" w:rsidRPr="002862F4" w:rsidTr="002862F4">
        <w:tc>
          <w:tcPr>
            <w:tcW w:w="8788" w:type="dxa"/>
          </w:tcPr>
          <w:p w:rsidR="00C033F3" w:rsidRPr="002862F4" w:rsidRDefault="00C033F3" w:rsidP="00C033F3">
            <w:pPr>
              <w:autoSpaceDE w:val="0"/>
              <w:autoSpaceDN w:val="0"/>
              <w:jc w:val="both"/>
              <w:rPr>
                <w:rFonts w:cs="Arial"/>
              </w:rPr>
            </w:pPr>
          </w:p>
        </w:tc>
      </w:tr>
      <w:tr w:rsidR="00C033F3" w:rsidRPr="002862F4" w:rsidTr="002862F4">
        <w:tc>
          <w:tcPr>
            <w:tcW w:w="8788" w:type="dxa"/>
          </w:tcPr>
          <w:p w:rsidR="00C033F3" w:rsidRPr="002862F4" w:rsidRDefault="00C033F3" w:rsidP="00C033F3">
            <w:pPr>
              <w:autoSpaceDE w:val="0"/>
              <w:autoSpaceDN w:val="0"/>
              <w:jc w:val="both"/>
              <w:rPr>
                <w:rFonts w:cs="Arial"/>
              </w:rPr>
            </w:pPr>
          </w:p>
        </w:tc>
      </w:tr>
      <w:tr w:rsidR="00C033F3" w:rsidRPr="002862F4" w:rsidTr="002862F4">
        <w:tc>
          <w:tcPr>
            <w:tcW w:w="8788" w:type="dxa"/>
          </w:tcPr>
          <w:p w:rsidR="00C033F3" w:rsidRPr="002862F4" w:rsidRDefault="00C033F3" w:rsidP="00C033F3">
            <w:pPr>
              <w:autoSpaceDE w:val="0"/>
              <w:autoSpaceDN w:val="0"/>
              <w:jc w:val="both"/>
              <w:rPr>
                <w:rFonts w:cs="Arial"/>
              </w:rPr>
            </w:pPr>
          </w:p>
        </w:tc>
      </w:tr>
      <w:tr w:rsidR="00C033F3" w:rsidRPr="002862F4" w:rsidTr="002862F4">
        <w:tc>
          <w:tcPr>
            <w:tcW w:w="8788" w:type="dxa"/>
          </w:tcPr>
          <w:p w:rsidR="00C033F3" w:rsidRPr="002862F4" w:rsidRDefault="00C033F3" w:rsidP="00C033F3">
            <w:pPr>
              <w:autoSpaceDE w:val="0"/>
              <w:autoSpaceDN w:val="0"/>
              <w:jc w:val="both"/>
              <w:rPr>
                <w:rFonts w:cs="Arial"/>
              </w:rPr>
            </w:pPr>
          </w:p>
        </w:tc>
      </w:tr>
    </w:tbl>
    <w:p w:rsidR="00C033F3" w:rsidRPr="002862F4" w:rsidRDefault="00C033F3" w:rsidP="002862F4">
      <w:pPr>
        <w:autoSpaceDE w:val="0"/>
        <w:autoSpaceDN w:val="0"/>
        <w:spacing w:before="120"/>
        <w:ind w:left="426" w:hanging="426"/>
        <w:jc w:val="both"/>
        <w:rPr>
          <w:rFonts w:cs="Arial"/>
        </w:rPr>
      </w:pPr>
      <w:r w:rsidRPr="002862F4">
        <w:rPr>
          <w:rFonts w:cs="Arial"/>
        </w:rPr>
        <w:tab/>
        <w:t xml:space="preserve">Prohlašujeme, že je-li výše uvedená tabulka prázdná či je proškrtnuta či je vyplněna jiným způsobem než uvedením identifikačních údajů vlastníků akcií, poté nejsme akciovou společností, případně nemáme vlastníky akcií se souhrnnou jmenovitou hodnotou akcií přesahující 10 % základního kapitálu. Je-li výše uvedená tabulka vyplněna identifikačními údaji vlastníků akcií, předchozí věta není uplatněna. </w:t>
      </w:r>
    </w:p>
    <w:p w:rsidR="00C033F3" w:rsidRPr="002862F4" w:rsidRDefault="00C033F3" w:rsidP="00C033F3">
      <w:pPr>
        <w:autoSpaceDE w:val="0"/>
        <w:autoSpaceDN w:val="0"/>
        <w:jc w:val="both"/>
        <w:rPr>
          <w:rFonts w:cs="Arial"/>
          <w:b/>
        </w:rPr>
      </w:pPr>
      <w:r w:rsidRPr="002862F4">
        <w:rPr>
          <w:rFonts w:cs="Arial"/>
          <w:b/>
        </w:rPr>
        <w:tab/>
      </w:r>
    </w:p>
    <w:p w:rsidR="00C033F3" w:rsidRPr="002862F4" w:rsidRDefault="00C033F3" w:rsidP="00C033F3">
      <w:pPr>
        <w:autoSpaceDE w:val="0"/>
        <w:autoSpaceDN w:val="0"/>
        <w:ind w:left="990" w:hanging="330"/>
        <w:jc w:val="both"/>
        <w:rPr>
          <w:b/>
        </w:rPr>
      </w:pPr>
    </w:p>
    <w:p w:rsidR="00C033F3" w:rsidRPr="002862F4" w:rsidRDefault="00C033F3" w:rsidP="002862F4">
      <w:pPr>
        <w:pStyle w:val="ZD2rove"/>
        <w:numPr>
          <w:ilvl w:val="0"/>
          <w:numId w:val="0"/>
        </w:numPr>
        <w:spacing w:before="0"/>
        <w:ind w:left="426" w:hanging="426"/>
        <w:rPr>
          <w:rFonts w:ascii="Times New Roman" w:hAnsi="Times New Roman"/>
          <w:b/>
          <w:sz w:val="24"/>
          <w:szCs w:val="24"/>
        </w:rPr>
      </w:pPr>
      <w:r w:rsidRPr="002862F4">
        <w:rPr>
          <w:rFonts w:ascii="Times New Roman" w:hAnsi="Times New Roman"/>
          <w:b/>
          <w:sz w:val="24"/>
          <w:szCs w:val="24"/>
        </w:rPr>
        <w:t>c)</w:t>
      </w:r>
      <w:r w:rsidRPr="002862F4">
        <w:rPr>
          <w:rFonts w:ascii="Times New Roman" w:hAnsi="Times New Roman"/>
          <w:b/>
          <w:sz w:val="24"/>
          <w:szCs w:val="24"/>
        </w:rPr>
        <w:tab/>
        <w:t xml:space="preserve">jsme neuzavřeli a neuzavřeme zakázanou dohodu podle zvláštního právního předpisu </w:t>
      </w:r>
      <w:r w:rsidRPr="002862F4">
        <w:rPr>
          <w:rFonts w:ascii="Times New Roman" w:hAnsi="Times New Roman"/>
          <w:sz w:val="24"/>
          <w:szCs w:val="24"/>
        </w:rPr>
        <w:t xml:space="preserve">(z.č. 143/2001 Sb., o ochraně hospodářské soutěže a o změně některých zákonů, ve znění pozdějších předpisů) </w:t>
      </w:r>
      <w:r w:rsidRPr="002862F4">
        <w:rPr>
          <w:rFonts w:ascii="Times New Roman" w:hAnsi="Times New Roman"/>
          <w:b/>
          <w:sz w:val="24"/>
          <w:szCs w:val="24"/>
        </w:rPr>
        <w:t>v souvislosti se zadávanou veřejnou zakázkou.</w:t>
      </w:r>
    </w:p>
    <w:p w:rsidR="00C033F3" w:rsidRPr="002862F4" w:rsidRDefault="00C033F3" w:rsidP="00C033F3">
      <w:pPr>
        <w:tabs>
          <w:tab w:val="left" w:pos="0"/>
        </w:tabs>
        <w:jc w:val="both"/>
        <w:rPr>
          <w:rFonts w:ascii="Tahoma" w:hAnsi="Tahoma" w:cs="Tahoma"/>
          <w:sz w:val="22"/>
          <w:szCs w:val="22"/>
        </w:rPr>
      </w:pPr>
    </w:p>
    <w:p w:rsidR="00C00092" w:rsidRPr="002862F4" w:rsidRDefault="00C00092">
      <w:pPr>
        <w:jc w:val="both"/>
        <w:rPr>
          <w:sz w:val="22"/>
          <w:szCs w:val="22"/>
        </w:rPr>
      </w:pPr>
    </w:p>
    <w:p w:rsidR="00C00092" w:rsidRPr="002862F4" w:rsidRDefault="00C00092">
      <w:pPr>
        <w:jc w:val="both"/>
        <w:rPr>
          <w:sz w:val="22"/>
          <w:szCs w:val="22"/>
        </w:rPr>
      </w:pPr>
    </w:p>
    <w:p w:rsidR="00B30822" w:rsidRPr="002862F4" w:rsidRDefault="00B30822">
      <w:pPr>
        <w:jc w:val="both"/>
        <w:rPr>
          <w:sz w:val="22"/>
          <w:szCs w:val="22"/>
        </w:rPr>
      </w:pPr>
    </w:p>
    <w:p w:rsidR="00C911DD" w:rsidRPr="002862F4" w:rsidRDefault="002510FA">
      <w:pPr>
        <w:jc w:val="both"/>
        <w:rPr>
          <w:sz w:val="22"/>
          <w:szCs w:val="22"/>
        </w:rPr>
      </w:pPr>
      <w:r w:rsidRPr="002862F4">
        <w:rPr>
          <w:sz w:val="22"/>
          <w:szCs w:val="22"/>
        </w:rPr>
        <w:t xml:space="preserve">V … </w:t>
      </w:r>
      <w:r w:rsidR="00EA1833" w:rsidRPr="002862F4">
        <w:rPr>
          <w:sz w:val="22"/>
          <w:szCs w:val="22"/>
        </w:rPr>
        <w:t xml:space="preserve">           </w:t>
      </w:r>
      <w:r w:rsidRPr="002862F4">
        <w:rPr>
          <w:sz w:val="22"/>
          <w:szCs w:val="22"/>
        </w:rPr>
        <w:t xml:space="preserve">dne … </w:t>
      </w:r>
    </w:p>
    <w:p w:rsidR="00C911DD" w:rsidRPr="002862F4" w:rsidRDefault="00C911DD">
      <w:pPr>
        <w:jc w:val="both"/>
        <w:rPr>
          <w:sz w:val="22"/>
          <w:szCs w:val="22"/>
        </w:rPr>
      </w:pPr>
    </w:p>
    <w:p w:rsidR="00C911DD" w:rsidRPr="002862F4" w:rsidRDefault="00C911DD">
      <w:pPr>
        <w:jc w:val="both"/>
        <w:rPr>
          <w:sz w:val="22"/>
          <w:szCs w:val="22"/>
        </w:rPr>
      </w:pPr>
    </w:p>
    <w:p w:rsidR="00C911DD" w:rsidRPr="002862F4" w:rsidRDefault="00C911DD">
      <w:pPr>
        <w:jc w:val="both"/>
        <w:rPr>
          <w:sz w:val="22"/>
          <w:szCs w:val="22"/>
        </w:rPr>
      </w:pPr>
    </w:p>
    <w:p w:rsidR="002510FA" w:rsidRPr="002862F4" w:rsidRDefault="002510FA" w:rsidP="00EA1833">
      <w:pPr>
        <w:pStyle w:val="Zkladntext"/>
        <w:ind w:left="6237"/>
        <w:jc w:val="center"/>
        <w:rPr>
          <w:sz w:val="22"/>
          <w:szCs w:val="22"/>
        </w:rPr>
      </w:pPr>
      <w:r w:rsidRPr="002862F4">
        <w:rPr>
          <w:sz w:val="22"/>
          <w:szCs w:val="22"/>
        </w:rPr>
        <w:t>……..………………………</w:t>
      </w:r>
    </w:p>
    <w:p w:rsidR="002510FA" w:rsidRPr="002862F4" w:rsidRDefault="002510FA" w:rsidP="00EA1833">
      <w:pPr>
        <w:ind w:left="6237"/>
        <w:jc w:val="center"/>
        <w:rPr>
          <w:i/>
          <w:iCs/>
          <w:sz w:val="22"/>
          <w:szCs w:val="22"/>
        </w:rPr>
      </w:pPr>
      <w:r w:rsidRPr="002862F4">
        <w:rPr>
          <w:i/>
          <w:iCs/>
          <w:sz w:val="22"/>
          <w:szCs w:val="22"/>
        </w:rPr>
        <w:t>jméno a funkce</w:t>
      </w:r>
    </w:p>
    <w:p w:rsidR="002510FA" w:rsidRPr="002862F4" w:rsidRDefault="002510FA" w:rsidP="00EA1833">
      <w:pPr>
        <w:ind w:left="6237"/>
        <w:jc w:val="center"/>
        <w:rPr>
          <w:i/>
          <w:iCs/>
          <w:sz w:val="22"/>
          <w:szCs w:val="22"/>
        </w:rPr>
      </w:pPr>
      <w:r w:rsidRPr="002862F4">
        <w:rPr>
          <w:i/>
          <w:iCs/>
          <w:sz w:val="22"/>
          <w:szCs w:val="22"/>
        </w:rPr>
        <w:t>statutárního nebo oprávněného</w:t>
      </w:r>
    </w:p>
    <w:p w:rsidR="00C36AFC" w:rsidRDefault="002510FA" w:rsidP="00EA1833">
      <w:pPr>
        <w:ind w:left="6237"/>
        <w:jc w:val="center"/>
        <w:rPr>
          <w:sz w:val="22"/>
          <w:szCs w:val="22"/>
        </w:rPr>
      </w:pPr>
      <w:r w:rsidRPr="001203FF">
        <w:rPr>
          <w:i/>
          <w:iCs/>
          <w:sz w:val="22"/>
          <w:szCs w:val="22"/>
        </w:rPr>
        <w:t xml:space="preserve">zástupce </w:t>
      </w:r>
      <w:r w:rsidR="00293422" w:rsidRPr="001203FF">
        <w:rPr>
          <w:i/>
          <w:iCs/>
          <w:sz w:val="22"/>
          <w:szCs w:val="22"/>
        </w:rPr>
        <w:t>dodavatele</w:t>
      </w:r>
    </w:p>
    <w:p w:rsidR="00C36AFC" w:rsidRPr="00C36AFC" w:rsidRDefault="00C36AFC" w:rsidP="00C36AFC">
      <w:pPr>
        <w:rPr>
          <w:sz w:val="22"/>
          <w:szCs w:val="22"/>
        </w:rPr>
      </w:pPr>
    </w:p>
    <w:p w:rsidR="00C36AFC" w:rsidRPr="00C36AFC" w:rsidRDefault="00C36AFC" w:rsidP="00C36AFC">
      <w:pPr>
        <w:rPr>
          <w:sz w:val="22"/>
          <w:szCs w:val="22"/>
        </w:rPr>
      </w:pPr>
    </w:p>
    <w:p w:rsidR="00C36AFC" w:rsidRDefault="00C36AFC" w:rsidP="00C36AFC">
      <w:pPr>
        <w:rPr>
          <w:sz w:val="22"/>
          <w:szCs w:val="22"/>
        </w:rPr>
      </w:pPr>
    </w:p>
    <w:p w:rsidR="00C36AFC" w:rsidRDefault="00C36AFC" w:rsidP="00C36AFC">
      <w:pPr>
        <w:rPr>
          <w:sz w:val="22"/>
          <w:szCs w:val="22"/>
        </w:rPr>
      </w:pPr>
    </w:p>
    <w:p w:rsidR="002510FA" w:rsidRPr="00C36AFC" w:rsidRDefault="00C36AFC" w:rsidP="00C36AFC">
      <w:pPr>
        <w:tabs>
          <w:tab w:val="left" w:pos="3900"/>
        </w:tabs>
        <w:rPr>
          <w:sz w:val="22"/>
          <w:szCs w:val="22"/>
        </w:rPr>
      </w:pPr>
      <w:r>
        <w:rPr>
          <w:sz w:val="22"/>
          <w:szCs w:val="22"/>
        </w:rPr>
        <w:tab/>
      </w:r>
    </w:p>
    <w:sectPr w:rsidR="002510FA" w:rsidRPr="00C36AFC" w:rsidSect="002862F4">
      <w:headerReference w:type="default" r:id="rId7"/>
      <w:footerReference w:type="default" r:id="rId8"/>
      <w:pgSz w:w="11906" w:h="16838"/>
      <w:pgMar w:top="1805" w:right="1417" w:bottom="1417" w:left="1276"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3F3" w:rsidRDefault="00C033F3" w:rsidP="0024368F">
      <w:r>
        <w:separator/>
      </w:r>
    </w:p>
  </w:endnote>
  <w:endnote w:type="continuationSeparator" w:id="0">
    <w:p w:rsidR="00C033F3" w:rsidRDefault="00C033F3" w:rsidP="00243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AFC" w:rsidRDefault="00C36AFC">
    <w:pPr>
      <w:pStyle w:val="Zpat"/>
    </w:pPr>
    <w:r w:rsidRPr="001526C2">
      <w:t xml:space="preserve">strana </w:t>
    </w:r>
    <w:r w:rsidR="008651D1">
      <w:fldChar w:fldCharType="begin"/>
    </w:r>
    <w:r w:rsidR="008651D1">
      <w:instrText>PAGE</w:instrText>
    </w:r>
    <w:r w:rsidR="008651D1">
      <w:fldChar w:fldCharType="separate"/>
    </w:r>
    <w:r w:rsidR="008651D1">
      <w:rPr>
        <w:noProof/>
      </w:rPr>
      <w:t>2</w:t>
    </w:r>
    <w:r w:rsidR="008651D1">
      <w:rPr>
        <w:noProof/>
      </w:rPr>
      <w:fldChar w:fldCharType="end"/>
    </w:r>
    <w:r w:rsidRPr="001526C2">
      <w:t>/</w:t>
    </w:r>
    <w:r w:rsidR="008651D1">
      <w:fldChar w:fldCharType="begin"/>
    </w:r>
    <w:r w:rsidR="008651D1">
      <w:instrText>NUMPAGES</w:instrText>
    </w:r>
    <w:r w:rsidR="008651D1">
      <w:fldChar w:fldCharType="separate"/>
    </w:r>
    <w:r w:rsidR="008651D1">
      <w:rPr>
        <w:noProof/>
      </w:rPr>
      <w:t>2</w:t>
    </w:r>
    <w:r w:rsidR="008651D1">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3F3" w:rsidRDefault="00C033F3" w:rsidP="0024368F">
      <w:r>
        <w:separator/>
      </w:r>
    </w:p>
  </w:footnote>
  <w:footnote w:type="continuationSeparator" w:id="0">
    <w:p w:rsidR="00C033F3" w:rsidRDefault="00C033F3" w:rsidP="002436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3F3" w:rsidRPr="00EA1833" w:rsidRDefault="00C033F3" w:rsidP="00447852">
    <w:pPr>
      <w:jc w:val="both"/>
      <w:rPr>
        <w:i/>
        <w:sz w:val="22"/>
        <w:szCs w:val="22"/>
      </w:rPr>
    </w:pPr>
    <w:r w:rsidRPr="00EA1833">
      <w:rPr>
        <w:i/>
        <w:sz w:val="22"/>
        <w:szCs w:val="22"/>
      </w:rPr>
      <w:t xml:space="preserve">Příloha č. </w:t>
    </w:r>
    <w:r w:rsidR="00162367">
      <w:rPr>
        <w:i/>
        <w:sz w:val="22"/>
        <w:szCs w:val="22"/>
      </w:rPr>
      <w:t>4</w:t>
    </w:r>
    <w:r w:rsidRPr="00EA1833">
      <w:rPr>
        <w:i/>
        <w:sz w:val="22"/>
        <w:szCs w:val="22"/>
      </w:rPr>
      <w:t xml:space="preserve"> ZD – </w:t>
    </w:r>
    <w:r w:rsidR="002862F4">
      <w:rPr>
        <w:sz w:val="22"/>
        <w:szCs w:val="22"/>
      </w:rPr>
      <w:t>Čestné prohlášení k § 68 odst. 3 ZVZ</w:t>
    </w:r>
  </w:p>
  <w:p w:rsidR="00C033F3" w:rsidRDefault="00C033F3" w:rsidP="0024368F">
    <w:pPr>
      <w:pStyle w:val="Zhlav"/>
      <w:tabs>
        <w:tab w:val="clear" w:pos="4536"/>
        <w:tab w:val="clear" w:pos="9072"/>
      </w:tabs>
      <w:ind w:left="5664" w:firstLine="708"/>
      <w:jc w:val="both"/>
    </w:pPr>
  </w:p>
  <w:p w:rsidR="00C033F3" w:rsidRDefault="00C033F3" w:rsidP="00447852">
    <w:pPr>
      <w:pStyle w:val="Zhlav"/>
      <w:tabs>
        <w:tab w:val="clear" w:pos="4536"/>
        <w:tab w:val="clear" w:pos="9072"/>
      </w:tabs>
      <w:jc w:val="center"/>
    </w:pPr>
    <w:r>
      <w:rPr>
        <w:noProof/>
      </w:rPr>
      <w:drawing>
        <wp:inline distT="0" distB="0" distL="0" distR="0">
          <wp:extent cx="2571750" cy="907048"/>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571750" cy="907048"/>
                  </a:xfrm>
                  <a:prstGeom prst="rect">
                    <a:avLst/>
                  </a:prstGeom>
                  <a:noFill/>
                  <a:ln w="9525">
                    <a:noFill/>
                    <a:miter lim="800000"/>
                    <a:headEnd/>
                    <a:tailEnd/>
                  </a:ln>
                </pic:spPr>
              </pic:pic>
            </a:graphicData>
          </a:graphic>
        </wp:inline>
      </w:drawing>
    </w:r>
  </w:p>
  <w:p w:rsidR="00C033F3" w:rsidRDefault="00C033F3" w:rsidP="001D441F">
    <w:pPr>
      <w:pStyle w:val="Zhlav"/>
      <w:tabs>
        <w:tab w:val="clear" w:pos="4536"/>
        <w:tab w:val="clear" w:pos="9072"/>
      </w:tabs>
      <w:jc w:val="center"/>
    </w:pPr>
    <w:r>
      <w:t>„Podpořeno z Programu švýcarsko-české spolupráce“</w:t>
    </w:r>
  </w:p>
  <w:p w:rsidR="00C033F3" w:rsidRDefault="00C033F3" w:rsidP="00447852">
    <w:pPr>
      <w:pStyle w:val="Zhlav"/>
      <w:tabs>
        <w:tab w:val="clear" w:pos="4536"/>
        <w:tab w:val="clear" w:pos="9072"/>
      </w:tabs>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4940"/>
    <w:multiLevelType w:val="hybridMultilevel"/>
    <w:tmpl w:val="ED5689BC"/>
    <w:lvl w:ilvl="0" w:tplc="415256A8">
      <w:start w:val="5"/>
      <w:numFmt w:val="lowerLetter"/>
      <w:lvlText w:val="%1)"/>
      <w:lvlJc w:val="left"/>
      <w:pPr>
        <w:tabs>
          <w:tab w:val="num" w:pos="900"/>
        </w:tabs>
        <w:ind w:left="900" w:hanging="5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262098A"/>
    <w:multiLevelType w:val="hybridMultilevel"/>
    <w:tmpl w:val="29D63F9A"/>
    <w:lvl w:ilvl="0" w:tplc="64BE651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A465ECC"/>
    <w:multiLevelType w:val="hybridMultilevel"/>
    <w:tmpl w:val="EE9A1020"/>
    <w:lvl w:ilvl="0" w:tplc="BD142A76">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F4322A6"/>
    <w:multiLevelType w:val="hybridMultilevel"/>
    <w:tmpl w:val="89B42028"/>
    <w:lvl w:ilvl="0" w:tplc="04050017">
      <w:start w:val="1"/>
      <w:numFmt w:val="lowerLetter"/>
      <w:lvlText w:val="%1)"/>
      <w:lvlJc w:val="left"/>
      <w:pPr>
        <w:ind w:left="1200"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4" w15:restartNumberingAfterBreak="0">
    <w:nsid w:val="389A39D8"/>
    <w:multiLevelType w:val="hybridMultilevel"/>
    <w:tmpl w:val="C68205AE"/>
    <w:lvl w:ilvl="0" w:tplc="1AB04364">
      <w:start w:val="1"/>
      <w:numFmt w:val="bullet"/>
      <w:lvlText w:val=""/>
      <w:lvlJc w:val="left"/>
      <w:pPr>
        <w:ind w:left="1344" w:hanging="360"/>
      </w:pPr>
      <w:rPr>
        <w:rFonts w:ascii="Symbol" w:hAnsi="Symbol" w:hint="default"/>
      </w:rPr>
    </w:lvl>
    <w:lvl w:ilvl="1" w:tplc="D06C7254" w:tentative="1">
      <w:start w:val="1"/>
      <w:numFmt w:val="bullet"/>
      <w:lvlText w:val="o"/>
      <w:lvlJc w:val="left"/>
      <w:pPr>
        <w:ind w:left="2064" w:hanging="360"/>
      </w:pPr>
      <w:rPr>
        <w:rFonts w:ascii="Courier New" w:hAnsi="Courier New" w:cs="Courier New" w:hint="default"/>
      </w:rPr>
    </w:lvl>
    <w:lvl w:ilvl="2" w:tplc="9ADA1906" w:tentative="1">
      <w:start w:val="1"/>
      <w:numFmt w:val="bullet"/>
      <w:lvlText w:val=""/>
      <w:lvlJc w:val="left"/>
      <w:pPr>
        <w:ind w:left="2784" w:hanging="360"/>
      </w:pPr>
      <w:rPr>
        <w:rFonts w:ascii="Wingdings" w:hAnsi="Wingdings" w:hint="default"/>
      </w:rPr>
    </w:lvl>
    <w:lvl w:ilvl="3" w:tplc="7646E246" w:tentative="1">
      <w:start w:val="1"/>
      <w:numFmt w:val="bullet"/>
      <w:lvlText w:val=""/>
      <w:lvlJc w:val="left"/>
      <w:pPr>
        <w:ind w:left="3504" w:hanging="360"/>
      </w:pPr>
      <w:rPr>
        <w:rFonts w:ascii="Symbol" w:hAnsi="Symbol" w:hint="default"/>
      </w:rPr>
    </w:lvl>
    <w:lvl w:ilvl="4" w:tplc="4CA2598C" w:tentative="1">
      <w:start w:val="1"/>
      <w:numFmt w:val="bullet"/>
      <w:lvlText w:val="o"/>
      <w:lvlJc w:val="left"/>
      <w:pPr>
        <w:ind w:left="4224" w:hanging="360"/>
      </w:pPr>
      <w:rPr>
        <w:rFonts w:ascii="Courier New" w:hAnsi="Courier New" w:cs="Courier New" w:hint="default"/>
      </w:rPr>
    </w:lvl>
    <w:lvl w:ilvl="5" w:tplc="C4A0E4A2" w:tentative="1">
      <w:start w:val="1"/>
      <w:numFmt w:val="bullet"/>
      <w:lvlText w:val=""/>
      <w:lvlJc w:val="left"/>
      <w:pPr>
        <w:ind w:left="4944" w:hanging="360"/>
      </w:pPr>
      <w:rPr>
        <w:rFonts w:ascii="Wingdings" w:hAnsi="Wingdings" w:hint="default"/>
      </w:rPr>
    </w:lvl>
    <w:lvl w:ilvl="6" w:tplc="A878816E" w:tentative="1">
      <w:start w:val="1"/>
      <w:numFmt w:val="bullet"/>
      <w:lvlText w:val=""/>
      <w:lvlJc w:val="left"/>
      <w:pPr>
        <w:ind w:left="5664" w:hanging="360"/>
      </w:pPr>
      <w:rPr>
        <w:rFonts w:ascii="Symbol" w:hAnsi="Symbol" w:hint="default"/>
      </w:rPr>
    </w:lvl>
    <w:lvl w:ilvl="7" w:tplc="CA7A61DC" w:tentative="1">
      <w:start w:val="1"/>
      <w:numFmt w:val="bullet"/>
      <w:lvlText w:val="o"/>
      <w:lvlJc w:val="left"/>
      <w:pPr>
        <w:ind w:left="6384" w:hanging="360"/>
      </w:pPr>
      <w:rPr>
        <w:rFonts w:ascii="Courier New" w:hAnsi="Courier New" w:cs="Courier New" w:hint="default"/>
      </w:rPr>
    </w:lvl>
    <w:lvl w:ilvl="8" w:tplc="9B7A3F26" w:tentative="1">
      <w:start w:val="1"/>
      <w:numFmt w:val="bullet"/>
      <w:lvlText w:val=""/>
      <w:lvlJc w:val="left"/>
      <w:pPr>
        <w:ind w:left="7104" w:hanging="360"/>
      </w:pPr>
      <w:rPr>
        <w:rFonts w:ascii="Wingdings" w:hAnsi="Wingdings" w:hint="default"/>
      </w:rPr>
    </w:lvl>
  </w:abstractNum>
  <w:abstractNum w:abstractNumId="5" w15:restartNumberingAfterBreak="0">
    <w:nsid w:val="40552FC4"/>
    <w:multiLevelType w:val="hybridMultilevel"/>
    <w:tmpl w:val="EC587878"/>
    <w:lvl w:ilvl="0" w:tplc="BD142A76">
      <w:start w:val="7"/>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40A07A4D"/>
    <w:multiLevelType w:val="hybridMultilevel"/>
    <w:tmpl w:val="40F42E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AC212FB"/>
    <w:multiLevelType w:val="multilevel"/>
    <w:tmpl w:val="E1144F50"/>
    <w:lvl w:ilvl="0">
      <w:start w:val="1"/>
      <w:numFmt w:val="upperRoman"/>
      <w:pStyle w:val="ZDlnek"/>
      <w:lvlText w:val="ČÁST %1."/>
      <w:lvlJc w:val="left"/>
      <w:pPr>
        <w:tabs>
          <w:tab w:val="num" w:pos="660"/>
        </w:tabs>
        <w:ind w:left="660" w:hanging="660"/>
      </w:pPr>
      <w:rPr>
        <w:rFonts w:hint="default"/>
      </w:rPr>
    </w:lvl>
    <w:lvl w:ilvl="1">
      <w:start w:val="1"/>
      <w:numFmt w:val="decimal"/>
      <w:pStyle w:val="ZD2rove"/>
      <w:isLgl/>
      <w:lvlText w:val="%1.%2."/>
      <w:lvlJc w:val="left"/>
      <w:pPr>
        <w:tabs>
          <w:tab w:val="num" w:pos="660"/>
        </w:tabs>
        <w:ind w:left="660" w:hanging="660"/>
      </w:pPr>
      <w:rPr>
        <w:rFonts w:hint="default"/>
      </w:rPr>
    </w:lvl>
    <w:lvl w:ilvl="2">
      <w:start w:val="1"/>
      <w:numFmt w:val="decimal"/>
      <w:lvlText w:val="%1.1.%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5ED60CFF"/>
    <w:multiLevelType w:val="hybridMultilevel"/>
    <w:tmpl w:val="4FBA099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63534547"/>
    <w:multiLevelType w:val="hybridMultilevel"/>
    <w:tmpl w:val="0194D1C0"/>
    <w:lvl w:ilvl="0" w:tplc="B96E2DAA">
      <w:start w:val="1"/>
      <w:numFmt w:val="lowerLetter"/>
      <w:lvlText w:val="%1)"/>
      <w:lvlJc w:val="left"/>
      <w:pPr>
        <w:ind w:left="720" w:hanging="360"/>
      </w:pPr>
      <w:rPr>
        <w:rFonts w:ascii="Times New Roman" w:hAnsi="Times New Roman" w:cs="Times New Roman"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DF35F85"/>
    <w:multiLevelType w:val="hybridMultilevel"/>
    <w:tmpl w:val="5F5CBE48"/>
    <w:lvl w:ilvl="0" w:tplc="54E8CD2A">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1" w15:restartNumberingAfterBreak="0">
    <w:nsid w:val="6F991B87"/>
    <w:multiLevelType w:val="hybridMultilevel"/>
    <w:tmpl w:val="97ECB2AC"/>
    <w:lvl w:ilvl="0" w:tplc="B13CDEA2">
      <w:numFmt w:val="bullet"/>
      <w:lvlText w:val="-"/>
      <w:lvlJc w:val="left"/>
      <w:pPr>
        <w:tabs>
          <w:tab w:val="num" w:pos="2628"/>
        </w:tabs>
        <w:ind w:left="2628" w:hanging="360"/>
      </w:pPr>
      <w:rPr>
        <w:rFonts w:ascii="Times New Roman" w:hAnsi="Times New Roman" w:cs="Times New Roman" w:hint="default"/>
        <w:color w:val="auto"/>
      </w:rPr>
    </w:lvl>
    <w:lvl w:ilvl="1" w:tplc="765656DE">
      <w:numFmt w:val="bullet"/>
      <w:lvlText w:val="-"/>
      <w:lvlJc w:val="left"/>
      <w:pPr>
        <w:tabs>
          <w:tab w:val="num" w:pos="1980"/>
        </w:tabs>
        <w:ind w:left="1980" w:hanging="360"/>
      </w:pPr>
      <w:rPr>
        <w:rFonts w:ascii="Times New Roman" w:hAnsi="Times New Roman" w:cs="Times New Roman" w:hint="default"/>
        <w:color w:val="auto"/>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7B7D4E1B"/>
    <w:multiLevelType w:val="hybridMultilevel"/>
    <w:tmpl w:val="439E867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D13124E"/>
    <w:multiLevelType w:val="hybridMultilevel"/>
    <w:tmpl w:val="A334A114"/>
    <w:lvl w:ilvl="0" w:tplc="1F6E37DA">
      <w:start w:val="1"/>
      <w:numFmt w:val="bullet"/>
      <w:lvlText w:val=""/>
      <w:lvlJc w:val="left"/>
      <w:pPr>
        <w:ind w:left="1287" w:hanging="360"/>
      </w:pPr>
      <w:rPr>
        <w:rFonts w:ascii="Symbol" w:hAnsi="Symbol" w:hint="default"/>
      </w:rPr>
    </w:lvl>
    <w:lvl w:ilvl="1" w:tplc="04050019" w:tentative="1">
      <w:start w:val="1"/>
      <w:numFmt w:val="bullet"/>
      <w:lvlText w:val="o"/>
      <w:lvlJc w:val="left"/>
      <w:pPr>
        <w:ind w:left="2007" w:hanging="360"/>
      </w:pPr>
      <w:rPr>
        <w:rFonts w:ascii="Courier New" w:hAnsi="Courier New" w:cs="Courier New" w:hint="default"/>
      </w:rPr>
    </w:lvl>
    <w:lvl w:ilvl="2" w:tplc="0405001B" w:tentative="1">
      <w:start w:val="1"/>
      <w:numFmt w:val="bullet"/>
      <w:lvlText w:val=""/>
      <w:lvlJc w:val="left"/>
      <w:pPr>
        <w:ind w:left="2727" w:hanging="360"/>
      </w:pPr>
      <w:rPr>
        <w:rFonts w:ascii="Wingdings" w:hAnsi="Wingdings" w:hint="default"/>
      </w:rPr>
    </w:lvl>
    <w:lvl w:ilvl="3" w:tplc="0405000F" w:tentative="1">
      <w:start w:val="1"/>
      <w:numFmt w:val="bullet"/>
      <w:lvlText w:val=""/>
      <w:lvlJc w:val="left"/>
      <w:pPr>
        <w:ind w:left="3447" w:hanging="360"/>
      </w:pPr>
      <w:rPr>
        <w:rFonts w:ascii="Symbol" w:hAnsi="Symbol" w:hint="default"/>
      </w:rPr>
    </w:lvl>
    <w:lvl w:ilvl="4" w:tplc="04050019" w:tentative="1">
      <w:start w:val="1"/>
      <w:numFmt w:val="bullet"/>
      <w:lvlText w:val="o"/>
      <w:lvlJc w:val="left"/>
      <w:pPr>
        <w:ind w:left="4167" w:hanging="360"/>
      </w:pPr>
      <w:rPr>
        <w:rFonts w:ascii="Courier New" w:hAnsi="Courier New" w:cs="Courier New" w:hint="default"/>
      </w:rPr>
    </w:lvl>
    <w:lvl w:ilvl="5" w:tplc="0405001B" w:tentative="1">
      <w:start w:val="1"/>
      <w:numFmt w:val="bullet"/>
      <w:lvlText w:val=""/>
      <w:lvlJc w:val="left"/>
      <w:pPr>
        <w:ind w:left="4887" w:hanging="360"/>
      </w:pPr>
      <w:rPr>
        <w:rFonts w:ascii="Wingdings" w:hAnsi="Wingdings" w:hint="default"/>
      </w:rPr>
    </w:lvl>
    <w:lvl w:ilvl="6" w:tplc="0405000F" w:tentative="1">
      <w:start w:val="1"/>
      <w:numFmt w:val="bullet"/>
      <w:lvlText w:val=""/>
      <w:lvlJc w:val="left"/>
      <w:pPr>
        <w:ind w:left="5607" w:hanging="360"/>
      </w:pPr>
      <w:rPr>
        <w:rFonts w:ascii="Symbol" w:hAnsi="Symbol" w:hint="default"/>
      </w:rPr>
    </w:lvl>
    <w:lvl w:ilvl="7" w:tplc="04050019" w:tentative="1">
      <w:start w:val="1"/>
      <w:numFmt w:val="bullet"/>
      <w:lvlText w:val="o"/>
      <w:lvlJc w:val="left"/>
      <w:pPr>
        <w:ind w:left="6327" w:hanging="360"/>
      </w:pPr>
      <w:rPr>
        <w:rFonts w:ascii="Courier New" w:hAnsi="Courier New" w:cs="Courier New" w:hint="default"/>
      </w:rPr>
    </w:lvl>
    <w:lvl w:ilvl="8" w:tplc="0405001B" w:tentative="1">
      <w:start w:val="1"/>
      <w:numFmt w:val="bullet"/>
      <w:lvlText w:val=""/>
      <w:lvlJc w:val="left"/>
      <w:pPr>
        <w:ind w:left="7047" w:hanging="360"/>
      </w:pPr>
      <w:rPr>
        <w:rFonts w:ascii="Wingdings" w:hAnsi="Wingdings" w:hint="default"/>
      </w:rPr>
    </w:lvl>
  </w:abstractNum>
  <w:num w:numId="1">
    <w:abstractNumId w:val="10"/>
  </w:num>
  <w:num w:numId="2">
    <w:abstractNumId w:val="11"/>
  </w:num>
  <w:num w:numId="3">
    <w:abstractNumId w:val="2"/>
  </w:num>
  <w:num w:numId="4">
    <w:abstractNumId w:val="0"/>
  </w:num>
  <w:num w:numId="5">
    <w:abstractNumId w:val="5"/>
  </w:num>
  <w:num w:numId="6">
    <w:abstractNumId w:val="1"/>
  </w:num>
  <w:num w:numId="7">
    <w:abstractNumId w:val="9"/>
  </w:num>
  <w:num w:numId="8">
    <w:abstractNumId w:val="6"/>
  </w:num>
  <w:num w:numId="9">
    <w:abstractNumId w:val="8"/>
  </w:num>
  <w:num w:numId="10">
    <w:abstractNumId w:val="3"/>
  </w:num>
  <w:num w:numId="11">
    <w:abstractNumId w:val="13"/>
  </w:num>
  <w:num w:numId="12">
    <w:abstractNumId w:val="4"/>
  </w:num>
  <w:num w:numId="13">
    <w:abstractNumId w:val="1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D1E"/>
    <w:rsid w:val="000050AC"/>
    <w:rsid w:val="0000649F"/>
    <w:rsid w:val="00007CF2"/>
    <w:rsid w:val="0002364E"/>
    <w:rsid w:val="000434DD"/>
    <w:rsid w:val="00063EB9"/>
    <w:rsid w:val="0007030C"/>
    <w:rsid w:val="00091CE6"/>
    <w:rsid w:val="000B316A"/>
    <w:rsid w:val="000D1643"/>
    <w:rsid w:val="000D5D1E"/>
    <w:rsid w:val="00111CB9"/>
    <w:rsid w:val="0011232E"/>
    <w:rsid w:val="001203FF"/>
    <w:rsid w:val="00127BF4"/>
    <w:rsid w:val="00133CAC"/>
    <w:rsid w:val="00162367"/>
    <w:rsid w:val="001D441F"/>
    <w:rsid w:val="00202D3E"/>
    <w:rsid w:val="0020482E"/>
    <w:rsid w:val="00207A07"/>
    <w:rsid w:val="00211E1E"/>
    <w:rsid w:val="0021590B"/>
    <w:rsid w:val="00226604"/>
    <w:rsid w:val="00230719"/>
    <w:rsid w:val="00233433"/>
    <w:rsid w:val="0024368F"/>
    <w:rsid w:val="002510FA"/>
    <w:rsid w:val="002524DE"/>
    <w:rsid w:val="0026229A"/>
    <w:rsid w:val="00266DC9"/>
    <w:rsid w:val="00277636"/>
    <w:rsid w:val="002862F4"/>
    <w:rsid w:val="00293422"/>
    <w:rsid w:val="002A5A24"/>
    <w:rsid w:val="002E5BDB"/>
    <w:rsid w:val="00336C5B"/>
    <w:rsid w:val="00352520"/>
    <w:rsid w:val="00357AA8"/>
    <w:rsid w:val="003864C8"/>
    <w:rsid w:val="00396753"/>
    <w:rsid w:val="003C2843"/>
    <w:rsid w:val="003D11D9"/>
    <w:rsid w:val="003E19C7"/>
    <w:rsid w:val="003E6A46"/>
    <w:rsid w:val="00401388"/>
    <w:rsid w:val="00424154"/>
    <w:rsid w:val="004436C0"/>
    <w:rsid w:val="00447852"/>
    <w:rsid w:val="00485C6E"/>
    <w:rsid w:val="00493D60"/>
    <w:rsid w:val="004B7466"/>
    <w:rsid w:val="004D31FC"/>
    <w:rsid w:val="004E431E"/>
    <w:rsid w:val="00501452"/>
    <w:rsid w:val="0052455F"/>
    <w:rsid w:val="00527426"/>
    <w:rsid w:val="00535F6C"/>
    <w:rsid w:val="00540645"/>
    <w:rsid w:val="005A541A"/>
    <w:rsid w:val="005B2B1E"/>
    <w:rsid w:val="005C6902"/>
    <w:rsid w:val="005F53DB"/>
    <w:rsid w:val="0060355F"/>
    <w:rsid w:val="00605123"/>
    <w:rsid w:val="00624DBF"/>
    <w:rsid w:val="006428A4"/>
    <w:rsid w:val="0066177F"/>
    <w:rsid w:val="00687850"/>
    <w:rsid w:val="00692A16"/>
    <w:rsid w:val="006A136D"/>
    <w:rsid w:val="006B5508"/>
    <w:rsid w:val="006C139E"/>
    <w:rsid w:val="006C6BB2"/>
    <w:rsid w:val="007077D1"/>
    <w:rsid w:val="0071603B"/>
    <w:rsid w:val="0072710C"/>
    <w:rsid w:val="0076035D"/>
    <w:rsid w:val="00783088"/>
    <w:rsid w:val="007B0A29"/>
    <w:rsid w:val="007B56AC"/>
    <w:rsid w:val="007C01EA"/>
    <w:rsid w:val="007C1F6B"/>
    <w:rsid w:val="007C3546"/>
    <w:rsid w:val="007E4566"/>
    <w:rsid w:val="008313E1"/>
    <w:rsid w:val="008464F4"/>
    <w:rsid w:val="00860B94"/>
    <w:rsid w:val="008651D1"/>
    <w:rsid w:val="008926A3"/>
    <w:rsid w:val="008A0454"/>
    <w:rsid w:val="008A65C9"/>
    <w:rsid w:val="008C1B46"/>
    <w:rsid w:val="008D17B5"/>
    <w:rsid w:val="00904BD8"/>
    <w:rsid w:val="00914148"/>
    <w:rsid w:val="00934BFA"/>
    <w:rsid w:val="009910F3"/>
    <w:rsid w:val="009E1766"/>
    <w:rsid w:val="00A227DF"/>
    <w:rsid w:val="00A83E98"/>
    <w:rsid w:val="00AA4618"/>
    <w:rsid w:val="00AE0E39"/>
    <w:rsid w:val="00B0459E"/>
    <w:rsid w:val="00B055FD"/>
    <w:rsid w:val="00B16BC2"/>
    <w:rsid w:val="00B30822"/>
    <w:rsid w:val="00B4006E"/>
    <w:rsid w:val="00BA018C"/>
    <w:rsid w:val="00BA6EE2"/>
    <w:rsid w:val="00BE6415"/>
    <w:rsid w:val="00BF5DB1"/>
    <w:rsid w:val="00C00092"/>
    <w:rsid w:val="00C033F3"/>
    <w:rsid w:val="00C31ACC"/>
    <w:rsid w:val="00C36AFC"/>
    <w:rsid w:val="00C4021E"/>
    <w:rsid w:val="00C80E7F"/>
    <w:rsid w:val="00C911DD"/>
    <w:rsid w:val="00CA1EE3"/>
    <w:rsid w:val="00CB453A"/>
    <w:rsid w:val="00CC7707"/>
    <w:rsid w:val="00CD2D3C"/>
    <w:rsid w:val="00CD66E3"/>
    <w:rsid w:val="00D45783"/>
    <w:rsid w:val="00D470AA"/>
    <w:rsid w:val="00D61BFF"/>
    <w:rsid w:val="00D94ECB"/>
    <w:rsid w:val="00E12BF9"/>
    <w:rsid w:val="00E141F7"/>
    <w:rsid w:val="00E4206B"/>
    <w:rsid w:val="00E56307"/>
    <w:rsid w:val="00E60D77"/>
    <w:rsid w:val="00E763BA"/>
    <w:rsid w:val="00EA1833"/>
    <w:rsid w:val="00EA7C16"/>
    <w:rsid w:val="00EF4E05"/>
    <w:rsid w:val="00EF6D88"/>
    <w:rsid w:val="00F3404A"/>
    <w:rsid w:val="00F52EE4"/>
    <w:rsid w:val="00F73271"/>
    <w:rsid w:val="00F750A7"/>
    <w:rsid w:val="00F8407A"/>
    <w:rsid w:val="00F870A6"/>
    <w:rsid w:val="00FA2B63"/>
    <w:rsid w:val="00FA5A70"/>
    <w:rsid w:val="00FD26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5:docId w15:val="{75CF4CF5-2AF2-4069-BD5D-EFDA3B588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64C8"/>
    <w:rPr>
      <w:sz w:val="24"/>
      <w:szCs w:val="24"/>
    </w:rPr>
  </w:style>
  <w:style w:type="paragraph" w:styleId="Nadpis1">
    <w:name w:val="heading 1"/>
    <w:basedOn w:val="Normln"/>
    <w:next w:val="Normln"/>
    <w:qFormat/>
    <w:rsid w:val="003864C8"/>
    <w:pPr>
      <w:keepNext/>
      <w:jc w:val="center"/>
      <w:outlineLvl w:val="0"/>
    </w:pPr>
    <w:rPr>
      <w:b/>
      <w:bCs/>
    </w:rPr>
  </w:style>
  <w:style w:type="paragraph" w:styleId="Nadpis2">
    <w:name w:val="heading 2"/>
    <w:basedOn w:val="Normln"/>
    <w:next w:val="Normln"/>
    <w:qFormat/>
    <w:rsid w:val="003864C8"/>
    <w:pPr>
      <w:keepNext/>
      <w:jc w:val="center"/>
      <w:outlineLvl w:val="1"/>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3864C8"/>
    <w:pPr>
      <w:jc w:val="both"/>
    </w:pPr>
  </w:style>
  <w:style w:type="paragraph" w:styleId="Zkladntextodsazen">
    <w:name w:val="Body Text Indent"/>
    <w:basedOn w:val="Normln"/>
    <w:semiHidden/>
    <w:rsid w:val="003864C8"/>
    <w:pPr>
      <w:ind w:left="540" w:hanging="540"/>
    </w:pPr>
  </w:style>
  <w:style w:type="paragraph" w:styleId="Zkladntextodsazen2">
    <w:name w:val="Body Text Indent 2"/>
    <w:basedOn w:val="Normln"/>
    <w:semiHidden/>
    <w:rsid w:val="003864C8"/>
    <w:pPr>
      <w:ind w:left="540" w:hanging="540"/>
      <w:jc w:val="both"/>
    </w:pPr>
  </w:style>
  <w:style w:type="paragraph" w:styleId="Textbubliny">
    <w:name w:val="Balloon Text"/>
    <w:basedOn w:val="Normln"/>
    <w:semiHidden/>
    <w:rsid w:val="003864C8"/>
    <w:rPr>
      <w:rFonts w:ascii="Tahoma" w:hAnsi="Tahoma" w:cs="Tahoma"/>
      <w:sz w:val="16"/>
      <w:szCs w:val="16"/>
    </w:rPr>
  </w:style>
  <w:style w:type="paragraph" w:styleId="Zhlav">
    <w:name w:val="header"/>
    <w:basedOn w:val="Normln"/>
    <w:link w:val="ZhlavChar"/>
    <w:semiHidden/>
    <w:unhideWhenUsed/>
    <w:rsid w:val="0072710C"/>
    <w:pPr>
      <w:tabs>
        <w:tab w:val="center" w:pos="4536"/>
        <w:tab w:val="right" w:pos="9072"/>
      </w:tabs>
    </w:pPr>
  </w:style>
  <w:style w:type="character" w:customStyle="1" w:styleId="ZhlavChar">
    <w:name w:val="Záhlaví Char"/>
    <w:basedOn w:val="Standardnpsmoodstavce"/>
    <w:link w:val="Zhlav"/>
    <w:semiHidden/>
    <w:rsid w:val="0072710C"/>
    <w:rPr>
      <w:sz w:val="24"/>
      <w:szCs w:val="24"/>
    </w:rPr>
  </w:style>
  <w:style w:type="paragraph" w:styleId="Odstavecseseznamem">
    <w:name w:val="List Paragraph"/>
    <w:basedOn w:val="Normln"/>
    <w:link w:val="OdstavecseseznamemChar"/>
    <w:uiPriority w:val="99"/>
    <w:qFormat/>
    <w:rsid w:val="00860B94"/>
    <w:pPr>
      <w:ind w:left="708"/>
    </w:pPr>
  </w:style>
  <w:style w:type="character" w:styleId="Odkaznakoment">
    <w:name w:val="annotation reference"/>
    <w:basedOn w:val="Standardnpsmoodstavce"/>
    <w:uiPriority w:val="99"/>
    <w:unhideWhenUsed/>
    <w:rsid w:val="00202D3E"/>
    <w:rPr>
      <w:sz w:val="16"/>
      <w:szCs w:val="16"/>
    </w:rPr>
  </w:style>
  <w:style w:type="paragraph" w:styleId="Textkomente">
    <w:name w:val="annotation text"/>
    <w:basedOn w:val="Normln"/>
    <w:link w:val="TextkomenteChar"/>
    <w:uiPriority w:val="99"/>
    <w:unhideWhenUsed/>
    <w:rsid w:val="00202D3E"/>
    <w:rPr>
      <w:sz w:val="20"/>
      <w:szCs w:val="20"/>
    </w:rPr>
  </w:style>
  <w:style w:type="character" w:customStyle="1" w:styleId="TextkomenteChar">
    <w:name w:val="Text komentáře Char"/>
    <w:basedOn w:val="Standardnpsmoodstavce"/>
    <w:link w:val="Textkomente"/>
    <w:uiPriority w:val="99"/>
    <w:rsid w:val="00202D3E"/>
  </w:style>
  <w:style w:type="paragraph" w:styleId="Zpat">
    <w:name w:val="footer"/>
    <w:basedOn w:val="Normln"/>
    <w:link w:val="ZpatChar"/>
    <w:uiPriority w:val="99"/>
    <w:semiHidden/>
    <w:unhideWhenUsed/>
    <w:rsid w:val="0024368F"/>
    <w:pPr>
      <w:tabs>
        <w:tab w:val="center" w:pos="4536"/>
        <w:tab w:val="right" w:pos="9072"/>
      </w:tabs>
    </w:pPr>
  </w:style>
  <w:style w:type="character" w:customStyle="1" w:styleId="ZpatChar">
    <w:name w:val="Zápatí Char"/>
    <w:basedOn w:val="Standardnpsmoodstavce"/>
    <w:link w:val="Zpat"/>
    <w:uiPriority w:val="99"/>
    <w:semiHidden/>
    <w:rsid w:val="0024368F"/>
    <w:rPr>
      <w:sz w:val="24"/>
      <w:szCs w:val="24"/>
    </w:rPr>
  </w:style>
  <w:style w:type="paragraph" w:styleId="Zkladntext2">
    <w:name w:val="Body Text 2"/>
    <w:basedOn w:val="Normln"/>
    <w:link w:val="Zkladntext2Char"/>
    <w:uiPriority w:val="99"/>
    <w:semiHidden/>
    <w:unhideWhenUsed/>
    <w:rsid w:val="009910F3"/>
    <w:pPr>
      <w:spacing w:after="120" w:line="480" w:lineRule="auto"/>
    </w:pPr>
  </w:style>
  <w:style w:type="character" w:customStyle="1" w:styleId="Zkladntext2Char">
    <w:name w:val="Základní text 2 Char"/>
    <w:basedOn w:val="Standardnpsmoodstavce"/>
    <w:link w:val="Zkladntext2"/>
    <w:uiPriority w:val="99"/>
    <w:semiHidden/>
    <w:rsid w:val="009910F3"/>
    <w:rPr>
      <w:sz w:val="24"/>
      <w:szCs w:val="24"/>
    </w:rPr>
  </w:style>
  <w:style w:type="character" w:customStyle="1" w:styleId="OdstavecseseznamemChar">
    <w:name w:val="Odstavec se seznamem Char"/>
    <w:link w:val="Odstavecseseznamem"/>
    <w:uiPriority w:val="99"/>
    <w:rsid w:val="00B30822"/>
    <w:rPr>
      <w:sz w:val="24"/>
      <w:szCs w:val="24"/>
    </w:rPr>
  </w:style>
  <w:style w:type="paragraph" w:styleId="Pedmtkomente">
    <w:name w:val="annotation subject"/>
    <w:basedOn w:val="Textkomente"/>
    <w:next w:val="Textkomente"/>
    <w:link w:val="PedmtkomenteChar"/>
    <w:uiPriority w:val="99"/>
    <w:semiHidden/>
    <w:unhideWhenUsed/>
    <w:rsid w:val="00F73271"/>
    <w:rPr>
      <w:b/>
      <w:bCs/>
    </w:rPr>
  </w:style>
  <w:style w:type="character" w:customStyle="1" w:styleId="PedmtkomenteChar">
    <w:name w:val="Předmět komentáře Char"/>
    <w:basedOn w:val="TextkomenteChar"/>
    <w:link w:val="Pedmtkomente"/>
    <w:uiPriority w:val="99"/>
    <w:semiHidden/>
    <w:rsid w:val="00F73271"/>
    <w:rPr>
      <w:b/>
      <w:bCs/>
    </w:rPr>
  </w:style>
  <w:style w:type="paragraph" w:styleId="Revize">
    <w:name w:val="Revision"/>
    <w:hidden/>
    <w:uiPriority w:val="99"/>
    <w:semiHidden/>
    <w:rsid w:val="00F73271"/>
    <w:rPr>
      <w:sz w:val="24"/>
      <w:szCs w:val="24"/>
    </w:rPr>
  </w:style>
  <w:style w:type="paragraph" w:customStyle="1" w:styleId="ZDlnek">
    <w:name w:val="ZD článek"/>
    <w:basedOn w:val="Normln"/>
    <w:qFormat/>
    <w:rsid w:val="00C033F3"/>
    <w:pPr>
      <w:keepNext/>
      <w:numPr>
        <w:numId w:val="14"/>
      </w:numPr>
      <w:shd w:val="clear" w:color="auto" w:fill="C6D9F1"/>
      <w:spacing w:after="240" w:line="360" w:lineRule="auto"/>
      <w:jc w:val="center"/>
    </w:pPr>
    <w:rPr>
      <w:rFonts w:ascii="Tahoma" w:eastAsia="Calibri" w:hAnsi="Tahoma" w:cs="Tahoma"/>
      <w:b/>
      <w:caps/>
      <w:sz w:val="20"/>
      <w:szCs w:val="22"/>
      <w:lang w:eastAsia="en-US"/>
    </w:rPr>
  </w:style>
  <w:style w:type="paragraph" w:customStyle="1" w:styleId="ZD2rove">
    <w:name w:val="ZD 2. úroveň"/>
    <w:basedOn w:val="Normln"/>
    <w:link w:val="ZD2roveChar"/>
    <w:qFormat/>
    <w:rsid w:val="00C033F3"/>
    <w:pPr>
      <w:numPr>
        <w:ilvl w:val="1"/>
        <w:numId w:val="14"/>
      </w:numPr>
      <w:spacing w:before="120"/>
      <w:jc w:val="both"/>
    </w:pPr>
    <w:rPr>
      <w:rFonts w:ascii="Tahoma" w:eastAsia="Calibri" w:hAnsi="Tahoma"/>
      <w:sz w:val="20"/>
      <w:szCs w:val="22"/>
      <w:lang w:eastAsia="en-US"/>
    </w:rPr>
  </w:style>
  <w:style w:type="character" w:customStyle="1" w:styleId="ZD2roveChar">
    <w:name w:val="ZD 2. úroveň Char"/>
    <w:link w:val="ZD2rove"/>
    <w:rsid w:val="00C033F3"/>
    <w:rPr>
      <w:rFonts w:ascii="Tahoma" w:eastAsia="Calibri" w:hAnsi="Tahoma"/>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310</Words>
  <Characters>1831</Characters>
  <Application>Microsoft Office Word</Application>
  <DocSecurity>0</DocSecurity>
  <Lines>15</Lines>
  <Paragraphs>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DP Ostrava a.s.</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 Čermáková</dc:creator>
  <cp:lastModifiedBy>Ondrůšková Alexandra</cp:lastModifiedBy>
  <cp:revision>2</cp:revision>
  <cp:lastPrinted>2012-06-13T06:30:00Z</cp:lastPrinted>
  <dcterms:created xsi:type="dcterms:W3CDTF">2019-04-16T11:53:00Z</dcterms:created>
  <dcterms:modified xsi:type="dcterms:W3CDTF">2019-04-16T11:53:00Z</dcterms:modified>
</cp:coreProperties>
</file>