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word/settings.xml" ContentType="application/vnd.openxmlformats-officedocument.wordprocessingml.settings+xml"/>
  <Override PartName="/word/footer1.xml" ContentType="application/vnd.openxmlformats-officedocument.wordprocessingml.footer+xml"/>
  <Default Extension="sigs" ContentType="application/vnd.openxmlformats-package.digital-signature-origin"/>
  <Override PartName="/word/fontTable.xml" ContentType="application/vnd.openxmlformats-officedocument.wordprocessingml.fontTable+xml"/>
  <Override PartName="/word/header1.xml" ContentType="application/vnd.openxmlformats-officedocument.wordprocessingml.header+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2" Type="http://schemas.openxmlformats.org/package/2006/relationships/digital-signature/origin" Target="_xmlsignatures/origin.sig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pBdr/>
        <w:contextualSpacing w:val="0"/>
        <w:rPr/>
      </w:pPr>
      <w:bookmarkStart w:colFirst="0" w:colLast="0" w:name="_s0tyulx0gl9w" w:id="0"/>
      <w:bookmarkEnd w:id="0"/>
      <w:r w:rsidDel="00000000" w:rsidR="00000000" w:rsidRPr="00000000">
        <w:rPr>
          <w:rtl w:val="0"/>
        </w:rPr>
        <w:t xml:space="preserve">Požadavky na předvedení vzorku</w:t>
      </w:r>
    </w:p>
    <w:p w:rsidR="00000000" w:rsidDel="00000000" w:rsidP="00000000" w:rsidRDefault="00000000" w:rsidRPr="00000000">
      <w:pPr>
        <w:pBdr/>
        <w:contextualSpacing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pBdr/>
        <w:contextualSpacing w:val="0"/>
        <w:jc w:val="both"/>
        <w:rPr/>
      </w:pPr>
      <w:r w:rsidDel="00000000" w:rsidR="00000000" w:rsidRPr="00000000">
        <w:rPr>
          <w:rtl w:val="0"/>
        </w:rPr>
        <w:t xml:space="preserve">Cílem předvedení funkčního vzorku je snaha prokázat, že účastník zadávacího řízení ovládá technologie, které mají být součástí dodávky veřejné zakázky. Funkční vzorek musí mít následující parametry a vlastnosti:</w:t>
      </w:r>
    </w:p>
    <w:p w:rsidR="00000000" w:rsidDel="00000000" w:rsidP="00000000" w:rsidRDefault="00000000" w:rsidRPr="00000000">
      <w:pPr>
        <w:numPr>
          <w:ilvl w:val="0"/>
          <w:numId w:val="1"/>
        </w:numPr>
        <w:pBdr/>
        <w:spacing w:line="240" w:lineRule="auto"/>
        <w:ind w:left="720" w:hanging="360"/>
        <w:contextualSpacing w:val="1"/>
        <w:rPr>
          <w:b w:val="1"/>
          <w:sz w:val="24"/>
          <w:szCs w:val="24"/>
        </w:rPr>
      </w:pPr>
      <w:r w:rsidDel="00000000" w:rsidR="00000000" w:rsidRPr="00000000">
        <w:rPr>
          <w:b w:val="1"/>
          <w:sz w:val="24"/>
          <w:szCs w:val="24"/>
          <w:rtl w:val="0"/>
        </w:rPr>
        <w:t xml:space="preserve">Funkčnost přístupového bodu WiFi ve vozidlech MHD,</w:t>
      </w:r>
    </w:p>
    <w:p w:rsidR="00000000" w:rsidDel="00000000" w:rsidP="00000000" w:rsidRDefault="00000000" w:rsidRPr="00000000">
      <w:pPr>
        <w:numPr>
          <w:ilvl w:val="0"/>
          <w:numId w:val="1"/>
        </w:numPr>
        <w:pBdr/>
        <w:spacing w:line="240" w:lineRule="auto"/>
        <w:ind w:left="720" w:hanging="360"/>
        <w:contextualSpacing w:val="1"/>
        <w:rPr>
          <w:b w:val="1"/>
          <w:sz w:val="24"/>
          <w:szCs w:val="24"/>
        </w:rPr>
      </w:pPr>
      <w:r w:rsidDel="00000000" w:rsidR="00000000" w:rsidRPr="00000000">
        <w:rPr>
          <w:b w:val="1"/>
          <w:sz w:val="24"/>
          <w:szCs w:val="24"/>
          <w:rtl w:val="0"/>
        </w:rPr>
        <w:t xml:space="preserve">Funkčnost komunikace jednotky dle ITS ETSI G5 a normy ČSN ETSI EN 302 663,</w:t>
      </w:r>
    </w:p>
    <w:p w:rsidR="00000000" w:rsidDel="00000000" w:rsidP="00000000" w:rsidRDefault="00000000" w:rsidRPr="00000000">
      <w:pPr>
        <w:numPr>
          <w:ilvl w:val="0"/>
          <w:numId w:val="1"/>
        </w:numPr>
        <w:pBdr/>
        <w:spacing w:line="240" w:lineRule="auto"/>
        <w:ind w:left="720" w:hanging="360"/>
        <w:contextualSpacing w:val="1"/>
        <w:rPr>
          <w:b w:val="1"/>
          <w:sz w:val="24"/>
          <w:szCs w:val="24"/>
        </w:rPr>
      </w:pPr>
      <w:r w:rsidDel="00000000" w:rsidR="00000000" w:rsidRPr="00000000">
        <w:rPr>
          <w:b w:val="1"/>
          <w:sz w:val="24"/>
          <w:szCs w:val="24"/>
          <w:rtl w:val="0"/>
        </w:rPr>
        <w:t xml:space="preserve">Funkčnost komunikační jednotky vozidla jako centrálního směrovače ve vozidle.</w:t>
      </w:r>
    </w:p>
    <w:p w:rsidR="00000000" w:rsidDel="00000000" w:rsidP="00000000" w:rsidRDefault="00000000" w:rsidRPr="00000000">
      <w:pPr>
        <w:numPr>
          <w:ilvl w:val="0"/>
          <w:numId w:val="1"/>
        </w:numPr>
        <w:pBdr/>
        <w:spacing w:line="240" w:lineRule="auto"/>
        <w:ind w:left="720" w:hanging="360"/>
        <w:contextualSpacing w:val="1"/>
        <w:rPr>
          <w:b w:val="1"/>
          <w:sz w:val="24"/>
          <w:szCs w:val="24"/>
        </w:rPr>
      </w:pPr>
      <w:r w:rsidDel="00000000" w:rsidR="00000000" w:rsidRPr="00000000">
        <w:rPr>
          <w:b w:val="1"/>
          <w:sz w:val="24"/>
          <w:szCs w:val="24"/>
          <w:rtl w:val="0"/>
        </w:rPr>
        <w:t xml:space="preserve">Funkčnost aplikace na mobilním telefonním přístroji</w:t>
      </w:r>
    </w:p>
    <w:p w:rsidR="00000000" w:rsidDel="00000000" w:rsidP="00000000" w:rsidRDefault="00000000" w:rsidRPr="00000000">
      <w:pPr>
        <w:pBdr/>
        <w:contextualSpacing w:val="0"/>
        <w:jc w:val="both"/>
        <w:rPr/>
      </w:pPr>
      <w:r w:rsidDel="00000000" w:rsidR="00000000" w:rsidRPr="00000000">
        <w:rPr>
          <w:rtl w:val="0"/>
        </w:rPr>
        <w:t xml:space="preserve">Časový limit pro předvádění vzorku je následující: čas na přípravu max. 30 minut, čas předvádění max.2 hodiny.</w:t>
      </w:r>
      <w:r w:rsidDel="00000000" w:rsidR="00000000" w:rsidRPr="00000000">
        <w:rPr>
          <w:rtl w:val="0"/>
        </w:rPr>
      </w:r>
    </w:p>
    <w:p w:rsidR="00000000" w:rsidDel="00000000" w:rsidP="00000000" w:rsidRDefault="00000000" w:rsidRPr="00000000">
      <w:pPr>
        <w:pStyle w:val="Heading2"/>
        <w:pBdr/>
        <w:contextualSpacing w:val="0"/>
        <w:rPr/>
      </w:pPr>
      <w:bookmarkStart w:colFirst="0" w:colLast="0" w:name="_lkruo0plfu4e" w:id="1"/>
      <w:bookmarkEnd w:id="1"/>
      <w:r w:rsidDel="00000000" w:rsidR="00000000" w:rsidRPr="00000000">
        <w:rPr>
          <w:rtl w:val="0"/>
        </w:rPr>
        <w:t xml:space="preserve">1.  Funkce Wifi přístupového bodu (Access Pointu)</w:t>
      </w:r>
    </w:p>
    <w:p w:rsidR="00000000" w:rsidDel="00000000" w:rsidP="00000000" w:rsidRDefault="00000000" w:rsidRPr="00000000">
      <w:pPr>
        <w:pBdr/>
        <w:contextualSpacing w:val="0"/>
        <w:rPr/>
      </w:pPr>
      <w:r w:rsidDel="00000000" w:rsidR="00000000" w:rsidRPr="00000000">
        <w:rPr>
          <w:rtl w:val="0"/>
        </w:rPr>
        <w:t xml:space="preserve">Cílem testu je ukázat, že Wifi Access Point (AP) je funkční a že umožní cestujícím připojení na internet přes LTE/UMTS modem. </w:t>
      </w:r>
    </w:p>
    <w:p w:rsidR="00000000" w:rsidDel="00000000" w:rsidP="00000000" w:rsidRDefault="00000000" w:rsidRPr="00000000">
      <w:pPr>
        <w:pStyle w:val="Heading3"/>
        <w:pBdr/>
        <w:contextualSpacing w:val="0"/>
        <w:rPr/>
      </w:pPr>
      <w:bookmarkStart w:colFirst="0" w:colLast="0" w:name="_ku0hm599y89d" w:id="2"/>
      <w:bookmarkEnd w:id="2"/>
      <w:r w:rsidDel="00000000" w:rsidR="00000000" w:rsidRPr="00000000">
        <w:rPr>
          <w:rtl w:val="0"/>
        </w:rPr>
        <w:t xml:space="preserve">Průběh testu bude následující:</w:t>
      </w:r>
    </w:p>
    <w:p w:rsidR="00000000" w:rsidDel="00000000" w:rsidP="00000000" w:rsidRDefault="00000000" w:rsidRPr="00000000">
      <w:pPr>
        <w:numPr>
          <w:ilvl w:val="0"/>
          <w:numId w:val="2"/>
        </w:numPr>
        <w:pBdr/>
        <w:ind w:left="720" w:hanging="360"/>
        <w:contextualSpacing w:val="1"/>
        <w:jc w:val="both"/>
      </w:pPr>
      <w:r w:rsidDel="00000000" w:rsidR="00000000" w:rsidRPr="00000000">
        <w:rPr>
          <w:rtl w:val="0"/>
        </w:rPr>
        <w:t xml:space="preserve">Uživatel se k AP připojí ze svého chytrého mobilního telefonu na základě určeného názvu sítě (SSID) a zadaného hesla (případně do otevřené sítě). Na telefonu se musí zobrazit přihlašovací stránka.</w:t>
      </w:r>
    </w:p>
    <w:p w:rsidR="00000000" w:rsidDel="00000000" w:rsidP="00000000" w:rsidRDefault="00000000" w:rsidRPr="00000000">
      <w:pPr>
        <w:numPr>
          <w:ilvl w:val="0"/>
          <w:numId w:val="2"/>
        </w:numPr>
        <w:pBdr/>
        <w:ind w:left="720" w:hanging="360"/>
        <w:contextualSpacing w:val="1"/>
        <w:jc w:val="both"/>
      </w:pPr>
      <w:r w:rsidDel="00000000" w:rsidR="00000000" w:rsidRPr="00000000">
        <w:rPr>
          <w:rtl w:val="0"/>
        </w:rPr>
        <w:t xml:space="preserve">Je třeba prokázat, že než dojde k autorizaci uživatele (přes konkrétní aplikaci nebo přes webový portál), nebude uživateli umožněn přístup do internetu. </w:t>
      </w:r>
    </w:p>
    <w:p w:rsidR="00000000" w:rsidDel="00000000" w:rsidP="00000000" w:rsidRDefault="00000000" w:rsidRPr="00000000">
      <w:pPr>
        <w:numPr>
          <w:ilvl w:val="0"/>
          <w:numId w:val="2"/>
        </w:numPr>
        <w:pBdr/>
        <w:ind w:left="720" w:hanging="360"/>
        <w:contextualSpacing w:val="1"/>
      </w:pPr>
      <w:r w:rsidDel="00000000" w:rsidR="00000000" w:rsidRPr="00000000">
        <w:rPr>
          <w:rtl w:val="0"/>
        </w:rPr>
        <w:t xml:space="preserve">Po autorizaci se internet zpřístupní. Uživateli musí být přes Wifi umožněn přístup do veřejného internetu. Přístup na internet musí být přes LTE modem a ne přes jakékoliv jiné rozhraní (např. ethernet). Potřebnou SIM kartu si zajistí účastník zadávacího řízení.</w:t>
      </w:r>
    </w:p>
    <w:p w:rsidR="00000000" w:rsidDel="00000000" w:rsidP="00000000" w:rsidRDefault="00000000" w:rsidRPr="00000000">
      <w:pPr>
        <w:numPr>
          <w:ilvl w:val="0"/>
          <w:numId w:val="2"/>
        </w:numPr>
        <w:pBdr/>
        <w:ind w:left="720" w:hanging="360"/>
        <w:contextualSpacing w:val="1"/>
        <w:jc w:val="both"/>
      </w:pPr>
      <w:r w:rsidDel="00000000" w:rsidR="00000000" w:rsidRPr="00000000">
        <w:rPr>
          <w:rtl w:val="0"/>
        </w:rPr>
        <w:t xml:space="preserve">Vzhledem k možnosti připojení velkého množství cestujících ve vozidle musí být v rámci testu prokázáno, že nejméně 3 zařízení se k AP připojí současně a všechna budou mít shodně kvalitní přístup do internetu. Tuto schopnost prokáže účastník zadávacího řízení pomocí tří mobilních telefonů, na kterých spustí videopřehrávače v rozlišení HD.</w:t>
      </w:r>
    </w:p>
    <w:p w:rsidR="00000000" w:rsidDel="00000000" w:rsidP="00000000" w:rsidRDefault="00000000" w:rsidRPr="00000000">
      <w:pPr>
        <w:numPr>
          <w:ilvl w:val="0"/>
          <w:numId w:val="2"/>
        </w:numPr>
        <w:pBdr/>
        <w:ind w:left="720" w:hanging="360"/>
        <w:contextualSpacing w:val="1"/>
        <w:jc w:val="both"/>
      </w:pPr>
      <w:r w:rsidDel="00000000" w:rsidR="00000000" w:rsidRPr="00000000">
        <w:rPr>
          <w:rtl w:val="0"/>
        </w:rPr>
        <w:t xml:space="preserve">Je nutné prokázat, že se ze sítě Wifi pro cestující není možné dostat do vnitřní vozidlové sítě, ani že nelze ze sítě pro cestující konfigurovat Access Point či přímo procesor. Současně účastník zadávacího řízení prokáže, že jednotku je možno konfigurovat z jednoho z ethernetových rozhraní.</w:t>
      </w:r>
    </w:p>
    <w:p w:rsidR="00000000" w:rsidDel="00000000" w:rsidP="00000000" w:rsidRDefault="00000000" w:rsidRPr="00000000">
      <w:pPr>
        <w:numPr>
          <w:ilvl w:val="0"/>
          <w:numId w:val="2"/>
        </w:numPr>
        <w:pBdr/>
        <w:ind w:left="720" w:hanging="360"/>
        <w:contextualSpacing w:val="1"/>
        <w:jc w:val="both"/>
      </w:pPr>
      <w:r w:rsidDel="00000000" w:rsidR="00000000" w:rsidRPr="00000000">
        <w:rPr>
          <w:rtl w:val="0"/>
        </w:rPr>
        <w:t xml:space="preserve">Je nutné prokázat, že Access Point umí minimálně 4 SSID současně, přičemž uživatel v jedné ze sítí bude mít jiná práva než uživatel v druhé. Toto účastník zadávacího řízení prokáže tak, že jedna síť bude volně přístupná a jedna bude přístupná pod heslem.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Style w:val="Heading2"/>
        <w:pBdr/>
        <w:contextualSpacing w:val="0"/>
        <w:rPr/>
      </w:pPr>
      <w:bookmarkStart w:colFirst="0" w:colLast="0" w:name="_8k9tejkzxzx3" w:id="3"/>
      <w:bookmarkEnd w:id="3"/>
      <w:r w:rsidDel="00000000" w:rsidR="00000000" w:rsidRPr="00000000">
        <w:rPr>
          <w:rtl w:val="0"/>
        </w:rPr>
        <w:t xml:space="preserve">2. Funkce komunikace ETSI ITS G5</w:t>
      </w:r>
    </w:p>
    <w:p w:rsidR="00000000" w:rsidDel="00000000" w:rsidP="00000000" w:rsidRDefault="00000000" w:rsidRPr="00000000">
      <w:pPr>
        <w:pBdr/>
        <w:contextualSpacing w:val="0"/>
        <w:jc w:val="both"/>
        <w:rPr/>
      </w:pPr>
      <w:r w:rsidDel="00000000" w:rsidR="00000000" w:rsidRPr="00000000">
        <w:rPr>
          <w:rtl w:val="0"/>
        </w:rPr>
        <w:t xml:space="preserve">Tento test prokáže schopnost zařízení komunikovat s okolními vozidly a infrastrukturou (např. řadiče křižovatky, označníky) dle standardů ETSI ITS G5. Vzhledem k tomu, že standardizace komunikace ETSI ITS G5 ještě nebyla plně dokončena a ještě ani ostatní účastníci dopravy nejsou vybaveni V2X, stačí, když účastník zadávacího řízení předvede schopnost komunikace na fyzické a spojové vrstvě ETSI ITS G5 dle normy ČSN ETSI EN 302 663. Tzn. stačí, když bude „nějaký“ paket odeslán přes fyzické rozhraní a zařízení třetí strany paket přijme. Zařízením třetí strany se myslí zařízení, které se úspěšně účastnilo ETSI Plug-testů nebo se jedná o zařízení poskytnuté důvěryhodnou institucí (např. vysoká škola).</w:t>
      </w:r>
    </w:p>
    <w:p w:rsidR="00000000" w:rsidDel="00000000" w:rsidP="00000000" w:rsidRDefault="00000000" w:rsidRPr="00000000">
      <w:pPr>
        <w:pStyle w:val="Heading3"/>
        <w:pBdr/>
        <w:contextualSpacing w:val="0"/>
        <w:rPr/>
      </w:pPr>
      <w:bookmarkStart w:colFirst="0" w:colLast="0" w:name="_iv9z97emsuw8" w:id="4"/>
      <w:bookmarkEnd w:id="4"/>
      <w:r w:rsidDel="00000000" w:rsidR="00000000" w:rsidRPr="00000000">
        <w:rPr>
          <w:rtl w:val="0"/>
        </w:rPr>
        <w:t xml:space="preserve">Průběh testu bude následující:</w:t>
      </w:r>
    </w:p>
    <w:p w:rsidR="00000000" w:rsidDel="00000000" w:rsidP="00000000" w:rsidRDefault="00000000" w:rsidRPr="00000000">
      <w:pPr>
        <w:numPr>
          <w:ilvl w:val="0"/>
          <w:numId w:val="4"/>
        </w:numPr>
        <w:pBdr/>
        <w:ind w:left="720" w:hanging="360"/>
        <w:contextualSpacing w:val="1"/>
        <w:jc w:val="both"/>
      </w:pPr>
      <w:r w:rsidDel="00000000" w:rsidR="00000000" w:rsidRPr="00000000">
        <w:rPr>
          <w:rtl w:val="0"/>
        </w:rPr>
        <w:t xml:space="preserve">Testované zařízení se nastaví na řídicí kanál CCH (kanál 180, frekvence 5900 MHz) v módu OCB (outside the context of a basic service set). Mód OCB byl dříve specifikován jako IEEE 802.11p. Na tento kanál bude naladěno i zařízení třetí strany.</w:t>
      </w:r>
    </w:p>
    <w:p w:rsidR="00000000" w:rsidDel="00000000" w:rsidP="00000000" w:rsidRDefault="00000000" w:rsidRPr="00000000">
      <w:pPr>
        <w:numPr>
          <w:ilvl w:val="0"/>
          <w:numId w:val="4"/>
        </w:numPr>
        <w:pBdr/>
        <w:ind w:left="720" w:hanging="360"/>
        <w:contextualSpacing w:val="1"/>
        <w:jc w:val="both"/>
      </w:pPr>
      <w:r w:rsidDel="00000000" w:rsidR="00000000" w:rsidRPr="00000000">
        <w:rPr>
          <w:rtl w:val="0"/>
        </w:rPr>
        <w:t xml:space="preserve">Testované zařízení musí periodicky odesílat určitý paket. Tento paket pak musí být nezkresleně přijímán na zařízení třetí strany.</w:t>
      </w:r>
    </w:p>
    <w:p w:rsidR="00000000" w:rsidDel="00000000" w:rsidP="00000000" w:rsidRDefault="00000000" w:rsidRPr="00000000">
      <w:pPr>
        <w:numPr>
          <w:ilvl w:val="0"/>
          <w:numId w:val="4"/>
        </w:numPr>
        <w:pBdr/>
        <w:ind w:left="720" w:hanging="360"/>
        <w:contextualSpacing w:val="1"/>
        <w:jc w:val="both"/>
      </w:pPr>
      <w:r w:rsidDel="00000000" w:rsidR="00000000" w:rsidRPr="00000000">
        <w:rPr>
          <w:rtl w:val="0"/>
        </w:rPr>
        <w:t xml:space="preserve">Zařízení třetí strany bude periodicky odesílat pakety. Tyto pakety musí být testované zařízení schopno přijmout.</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Style w:val="Heading2"/>
        <w:pBdr/>
        <w:contextualSpacing w:val="0"/>
        <w:rPr/>
      </w:pPr>
      <w:bookmarkStart w:colFirst="0" w:colLast="0" w:name="_79pa7dx24dcd" w:id="5"/>
      <w:bookmarkEnd w:id="5"/>
      <w:r w:rsidDel="00000000" w:rsidR="00000000" w:rsidRPr="00000000">
        <w:rPr>
          <w:rtl w:val="0"/>
        </w:rPr>
        <w:t xml:space="preserve">3. Funkčnost komunikační jednotky jako centrálního směrovače vozidla</w:t>
      </w:r>
    </w:p>
    <w:p w:rsidR="00000000" w:rsidDel="00000000" w:rsidP="00000000" w:rsidRDefault="00000000" w:rsidRPr="00000000">
      <w:pPr>
        <w:pBdr/>
        <w:contextualSpacing w:val="0"/>
        <w:jc w:val="both"/>
        <w:rPr/>
      </w:pPr>
      <w:r w:rsidDel="00000000" w:rsidR="00000000" w:rsidRPr="00000000">
        <w:rPr>
          <w:rtl w:val="0"/>
        </w:rPr>
        <w:t xml:space="preserve">Tento test prokáže schopnost jednotky komunikovat nezávisle v několika sítích ve vozidle (drátových a bezdrátových).</w:t>
      </w:r>
    </w:p>
    <w:p w:rsidR="00000000" w:rsidDel="00000000" w:rsidP="00000000" w:rsidRDefault="00000000" w:rsidRPr="00000000">
      <w:pPr>
        <w:pStyle w:val="Heading3"/>
        <w:pBdr/>
        <w:contextualSpacing w:val="0"/>
        <w:rPr/>
      </w:pPr>
      <w:bookmarkStart w:colFirst="0" w:colLast="0" w:name="_gc76r41n4760" w:id="6"/>
      <w:bookmarkEnd w:id="6"/>
      <w:r w:rsidDel="00000000" w:rsidR="00000000" w:rsidRPr="00000000">
        <w:rPr>
          <w:rtl w:val="0"/>
        </w:rPr>
        <w:t xml:space="preserve">Průběh testu tedy bude následující:</w:t>
      </w:r>
    </w:p>
    <w:p w:rsidR="00000000" w:rsidDel="00000000" w:rsidP="00000000" w:rsidRDefault="00000000" w:rsidRPr="00000000">
      <w:pPr>
        <w:numPr>
          <w:ilvl w:val="0"/>
          <w:numId w:val="5"/>
        </w:numPr>
        <w:pBdr/>
        <w:ind w:left="720" w:hanging="360"/>
        <w:contextualSpacing w:val="1"/>
        <w:jc w:val="both"/>
      </w:pPr>
      <w:r w:rsidDel="00000000" w:rsidR="00000000" w:rsidRPr="00000000">
        <w:rPr>
          <w:rtl w:val="0"/>
        </w:rPr>
        <w:t xml:space="preserve">Prokázání vzájemného oddělení mezi etherneovými vstupy, kdy na jednom vstupu se budou generovat pakety, které není možno přijmout na druhém vstupu.</w:t>
      </w:r>
    </w:p>
    <w:p w:rsidR="00000000" w:rsidDel="00000000" w:rsidP="00000000" w:rsidRDefault="00000000" w:rsidRPr="00000000">
      <w:pPr>
        <w:numPr>
          <w:ilvl w:val="0"/>
          <w:numId w:val="5"/>
        </w:numPr>
        <w:pBdr/>
        <w:ind w:left="720" w:hanging="360"/>
        <w:contextualSpacing w:val="1"/>
        <w:jc w:val="both"/>
      </w:pPr>
      <w:r w:rsidDel="00000000" w:rsidR="00000000" w:rsidRPr="00000000">
        <w:rPr>
          <w:rtl w:val="0"/>
        </w:rPr>
        <w:t xml:space="preserve">Po změně nastavení směrovacích pravidel v komunikační jednotce umožnit přenos dat z jednoho výstupu na druhý.</w:t>
      </w:r>
    </w:p>
    <w:p w:rsidR="00000000" w:rsidDel="00000000" w:rsidP="00000000" w:rsidRDefault="00000000" w:rsidRPr="00000000">
      <w:pPr>
        <w:numPr>
          <w:ilvl w:val="0"/>
          <w:numId w:val="5"/>
        </w:numPr>
        <w:pBdr/>
        <w:ind w:left="720" w:hanging="360"/>
        <w:contextualSpacing w:val="1"/>
        <w:jc w:val="both"/>
      </w:pPr>
      <w:r w:rsidDel="00000000" w:rsidR="00000000" w:rsidRPr="00000000">
        <w:rPr>
          <w:rtl w:val="0"/>
        </w:rPr>
        <w:t xml:space="preserve">Přenos dat z vnitřní sítě „vozidla“ z rozhraní ethernet přes LTE modem na vybranou IP adresu. Cílem je prokázat obousměrnou komunikaci na server a zpět.</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Style w:val="Heading2"/>
        <w:pBdr/>
        <w:contextualSpacing w:val="0"/>
        <w:rPr/>
      </w:pPr>
      <w:bookmarkStart w:colFirst="0" w:colLast="0" w:name="_k1hb2wqodl15" w:id="7"/>
      <w:bookmarkEnd w:id="7"/>
      <w:r w:rsidDel="00000000" w:rsidR="00000000" w:rsidRPr="00000000">
        <w:rPr>
          <w:rtl w:val="0"/>
        </w:rPr>
        <w:t xml:space="preserve">4. Funkčnost aplikace na mobilním telefonním přístroji</w:t>
      </w:r>
    </w:p>
    <w:p w:rsidR="00000000" w:rsidDel="00000000" w:rsidP="00000000" w:rsidRDefault="00000000" w:rsidRPr="00000000">
      <w:pPr>
        <w:pStyle w:val="Heading3"/>
        <w:pBdr/>
        <w:contextualSpacing w:val="0"/>
        <w:rPr/>
      </w:pPr>
      <w:bookmarkStart w:colFirst="0" w:colLast="0" w:name="_92x8mwbi69bk" w:id="8"/>
      <w:bookmarkEnd w:id="8"/>
      <w:r w:rsidDel="00000000" w:rsidR="00000000" w:rsidRPr="00000000">
        <w:rPr>
          <w:rtl w:val="0"/>
        </w:rPr>
        <w:t xml:space="preserve">Průběh testu tedy bude následující:</w:t>
      </w:r>
    </w:p>
    <w:p w:rsidR="00000000" w:rsidDel="00000000" w:rsidP="00000000" w:rsidRDefault="00000000" w:rsidRPr="00000000">
      <w:pPr>
        <w:numPr>
          <w:ilvl w:val="0"/>
          <w:numId w:val="3"/>
        </w:numPr>
        <w:pBdr/>
        <w:ind w:left="720" w:hanging="360"/>
        <w:contextualSpacing w:val="1"/>
        <w:jc w:val="both"/>
        <w:rPr>
          <w:u w:val="none"/>
        </w:rPr>
      </w:pPr>
      <w:r w:rsidDel="00000000" w:rsidR="00000000" w:rsidRPr="00000000">
        <w:rPr>
          <w:rtl w:val="0"/>
        </w:rPr>
        <w:t xml:space="preserve">Prokázání povolení přístupu do veřejné internetové sítě pouze po instalaci aplikace a registraci zákazníka z dané aplikace (postačí platforma android).</w:t>
      </w:r>
    </w:p>
    <w:p w:rsidR="00000000" w:rsidDel="00000000" w:rsidP="00000000" w:rsidRDefault="00000000" w:rsidRPr="00000000">
      <w:pPr>
        <w:numPr>
          <w:ilvl w:val="0"/>
          <w:numId w:val="3"/>
        </w:numPr>
        <w:pBdr/>
        <w:ind w:left="720" w:hanging="360"/>
        <w:contextualSpacing w:val="1"/>
        <w:jc w:val="both"/>
        <w:rPr>
          <w:u w:val="none"/>
        </w:rPr>
      </w:pPr>
      <w:r w:rsidDel="00000000" w:rsidR="00000000" w:rsidRPr="00000000">
        <w:rPr>
          <w:rtl w:val="0"/>
        </w:rPr>
        <w:t xml:space="preserve">Předvedení vyhledání multimodální trasy ve městě Ostrava (pěšky a MHD) z bodu A do bodu B. Body musí být zadány výběrem z mapy. Vypsání jednoduchého itineráře vyhledané trasy. Trasa musí být vygenerována nad námi dodanými GTFS daty, které zájemce získá oproti podpisu přílohy č. 16 ZD - Dohoda o zachování mlčenlivosti a nesmí být publikována na veřejně dostupných serverech.</w:t>
      </w:r>
    </w:p>
    <w:sectPr>
      <w:headerReference r:id="rId5" w:type="default"/>
      <w:footerReference r:id="rId6" w:type="default"/>
      <w:pgSz w:h="16838" w:w="11906"/>
      <w:pgMar w:bottom="566.9291338582677" w:top="566.9291338582677" w:left="1417.3228346456694" w:right="566.9291338582677"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color w:val="666666"/>
        <w:sz w:val="12"/>
        <w:szCs w:val="12"/>
      </w:rPr>
    </w:pPr>
    <w:r w:rsidDel="00000000" w:rsidR="00000000" w:rsidRPr="00000000">
      <w:rPr>
        <w:rtl w:val="0"/>
      </w:rPr>
    </w:r>
  </w:p>
  <w:tbl>
    <w:tblPr>
      <w:tblStyle w:val="Table2"/>
      <w:bidiVisual w:val="0"/>
      <w:tblW w:w="9921.0" w:type="dxa"/>
      <w:jc w:val="left"/>
      <w:tblLayout w:type="fixed"/>
      <w:tblLook w:val="0600"/>
    </w:tblPr>
    <w:tblGrid>
      <w:gridCol w:w="4960.5"/>
      <w:gridCol w:w="4960.5"/>
      <w:tblGridChange w:id="0">
        <w:tblGrid>
          <w:gridCol w:w="4960.5"/>
          <w:gridCol w:w="4960.5"/>
        </w:tblGrid>
      </w:tblGridChange>
    </w:tblGrid>
    <w:tr>
      <w:tc>
        <w:tcPr>
          <w:tcMar>
            <w:left w:w="0.0" w:type="dxa"/>
            <w:right w:w="0.0" w:type="dxa"/>
          </w:tcMar>
        </w:tcPr>
        <w:p w:rsidR="00000000" w:rsidDel="00000000" w:rsidP="00000000" w:rsidRDefault="00000000" w:rsidRPr="00000000">
          <w:pPr>
            <w:widowControl w:val="0"/>
            <w:pBdr/>
            <w:spacing w:after="0" w:before="0" w:line="240" w:lineRule="auto"/>
            <w:contextualSpacing w:val="0"/>
            <w:rPr>
              <w:color w:val="666666"/>
              <w:sz w:val="20"/>
              <w:szCs w:val="20"/>
            </w:rPr>
          </w:pPr>
          <w:r w:rsidDel="00000000" w:rsidR="00000000" w:rsidRPr="00000000">
            <w:rPr>
              <w:color w:val="666666"/>
              <w:sz w:val="20"/>
              <w:szCs w:val="20"/>
              <w:rtl w:val="0"/>
            </w:rPr>
            <w:t xml:space="preserve">Implementace inteligentních dopravních systémů</w:t>
          </w:r>
        </w:p>
        <w:p w:rsidR="00000000" w:rsidDel="00000000" w:rsidP="00000000" w:rsidRDefault="00000000" w:rsidRPr="00000000">
          <w:pPr>
            <w:widowControl w:val="0"/>
            <w:pBdr/>
            <w:spacing w:after="0" w:before="0" w:line="240" w:lineRule="auto"/>
            <w:contextualSpacing w:val="0"/>
            <w:rPr>
              <w:color w:val="666666"/>
              <w:sz w:val="20"/>
              <w:szCs w:val="20"/>
            </w:rPr>
          </w:pPr>
          <w:r w:rsidDel="00000000" w:rsidR="00000000" w:rsidRPr="00000000">
            <w:rPr>
              <w:color w:val="666666"/>
              <w:sz w:val="20"/>
              <w:szCs w:val="20"/>
              <w:rtl w:val="0"/>
            </w:rPr>
            <w:t xml:space="preserve">Požadavky na předvedení vzorku - příloha č.15 ZD</w:t>
          </w:r>
        </w:p>
      </w:tc>
      <w:tc>
        <w:tcPr>
          <w:tcMar>
            <w:left w:w="0.0" w:type="dxa"/>
            <w:right w:w="0.0" w:type="dxa"/>
          </w:tcMar>
        </w:tcPr>
        <w:p w:rsidR="00000000" w:rsidDel="00000000" w:rsidP="00000000" w:rsidRDefault="00000000" w:rsidRPr="00000000">
          <w:pPr>
            <w:pBdr/>
            <w:contextualSpacing w:val="0"/>
            <w:jc w:val="right"/>
            <w:rPr>
              <w:color w:val="666666"/>
              <w:sz w:val="20"/>
              <w:szCs w:val="20"/>
            </w:rPr>
          </w:pPr>
          <w:r w:rsidDel="00000000" w:rsidR="00000000" w:rsidRPr="00000000">
            <w:rPr>
              <w:color w:val="666666"/>
              <w:sz w:val="20"/>
              <w:szCs w:val="20"/>
              <w:rtl w:val="0"/>
            </w:rPr>
            <w:t xml:space="preserve">Strana </w:t>
          </w:r>
          <w:r w:rsidDel="00000000" w:rsidR="00000000" w:rsidRPr="00000000">
            <w:rPr>
              <w:color w:val="666666"/>
              <w:sz w:val="20"/>
              <w:szCs w:val="20"/>
            </w:rPr>
            <w:fldChar w:fldCharType="begin"/>
            <w:instrText xml:space="preserve">PAGE</w:instrText>
            <w:fldChar w:fldCharType="separate"/>
            <w:fldChar w:fldCharType="end"/>
          </w:r>
          <w:r w:rsidDel="00000000" w:rsidR="00000000" w:rsidRPr="00000000">
            <w:rPr>
              <w:color w:val="666666"/>
              <w:sz w:val="20"/>
              <w:szCs w:val="20"/>
              <w:rtl w:val="0"/>
            </w:rPr>
            <w:t xml:space="preserve"> z </w:t>
          </w:r>
          <w:r w:rsidDel="00000000" w:rsidR="00000000" w:rsidRPr="00000000">
            <w:rPr>
              <w:color w:val="666666"/>
              <w:sz w:val="20"/>
              <w:szCs w:val="2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pPr>
      <w:pBdr/>
      <w:contextualSpacing w:val="0"/>
      <w:rPr>
        <w:sz w:val="20"/>
        <w:szCs w:val="2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spacing w:after="60" w:before="60" w:lineRule="auto"/>
      <w:ind w:left="720" w:hanging="360"/>
      <w:contextualSpacing w:val="0"/>
      <w:rPr/>
    </w:pPr>
    <w:r w:rsidDel="00000000" w:rsidR="00000000" w:rsidRPr="00000000">
      <w:rPr>
        <w:rtl w:val="0"/>
      </w:rPr>
    </w:r>
  </w:p>
  <w:tbl>
    <w:tblPr>
      <w:tblStyle w:val="Table1"/>
      <w:bidiVisual w:val="0"/>
      <w:tblW w:w="9921.0" w:type="dxa"/>
      <w:jc w:val="right"/>
      <w:tblLayout w:type="fixed"/>
      <w:tblLook w:val="0600"/>
    </w:tblPr>
    <w:tblGrid>
      <w:gridCol w:w="4960.5"/>
      <w:gridCol w:w="4960.5"/>
      <w:tblGridChange w:id="0">
        <w:tblGrid>
          <w:gridCol w:w="4960.5"/>
          <w:gridCol w:w="4960.5"/>
        </w:tblGrid>
      </w:tblGridChange>
    </w:tblGrid>
    <w:tr>
      <w:tc>
        <w:tcPr>
          <w:tcMar>
            <w:left w:w="0.0" w:type="dxa"/>
            <w:right w:w="0.0" w:type="dxa"/>
          </w:tcMar>
          <w:vAlign w:val="center"/>
        </w:tcPr>
        <w:p w:rsidR="00000000" w:rsidDel="00000000" w:rsidP="00000000" w:rsidRDefault="00000000" w:rsidRPr="00000000">
          <w:pPr>
            <w:widowControl w:val="0"/>
            <w:pBdr/>
            <w:spacing w:after="0" w:before="0" w:line="240" w:lineRule="auto"/>
            <w:contextualSpacing w:val="0"/>
            <w:rPr/>
          </w:pPr>
          <w:r w:rsidDel="00000000" w:rsidR="00000000" w:rsidRPr="00000000">
            <w:drawing>
              <wp:inline distB="114300" distT="114300" distL="114300" distR="114300">
                <wp:extent cx="1800225" cy="508000"/>
                <wp:effectExtent b="0" l="0" r="0" t="0"/>
                <wp:docPr id="2"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1800225" cy="508000"/>
                        </a:xfrm>
                        <a:prstGeom prst="rect"/>
                        <a:ln/>
                      </pic:spPr>
                    </pic:pic>
                  </a:graphicData>
                </a:graphic>
              </wp:inline>
            </w:drawing>
          </w:r>
          <w:r w:rsidDel="00000000" w:rsidR="00000000" w:rsidRPr="00000000">
            <w:rPr>
              <w:rtl w:val="0"/>
            </w:rPr>
          </w:r>
        </w:p>
      </w:tc>
      <w:tc>
        <w:tcPr>
          <w:tcMar>
            <w:left w:w="0.0" w:type="dxa"/>
            <w:right w:w="0.0" w:type="dxa"/>
          </w:tcMar>
        </w:tcPr>
        <w:p w:rsidR="00000000" w:rsidDel="00000000" w:rsidP="00000000" w:rsidRDefault="00000000" w:rsidRPr="00000000">
          <w:pPr>
            <w:widowControl w:val="0"/>
            <w:pBdr/>
            <w:spacing w:after="0" w:before="0" w:line="240" w:lineRule="auto"/>
            <w:contextualSpacing w:val="0"/>
            <w:jc w:val="right"/>
            <w:rPr>
              <w:sz w:val="44"/>
              <w:szCs w:val="44"/>
            </w:rPr>
          </w:pPr>
          <w:r w:rsidDel="00000000" w:rsidR="00000000" w:rsidRPr="00000000">
            <w:drawing>
              <wp:inline distB="114300" distT="114300" distL="114300" distR="114300">
                <wp:extent cx="1914525" cy="600075"/>
                <wp:effectExtent b="0" l="0" r="0" t="0"/>
                <wp:docPr id="1"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914525" cy="600075"/>
                        </a:xfrm>
                        <a:prstGeom prst="rect"/>
                        <a:ln/>
                      </pic:spPr>
                    </pic:pic>
                  </a:graphicData>
                </a:graphic>
              </wp:inline>
            </w:drawing>
          </w:r>
          <w:r w:rsidDel="00000000" w:rsidR="00000000" w:rsidRPr="00000000">
            <w:rPr>
              <w:rtl w:val="0"/>
            </w:rPr>
          </w:r>
        </w:p>
      </w:tc>
    </w:tr>
  </w:tbl>
  <w:p w:rsidR="00000000" w:rsidDel="00000000" w:rsidP="00000000" w:rsidRDefault="00000000" w:rsidRPr="00000000">
    <w:pPr>
      <w:pBdr/>
      <w:contextualSpacing w:val="0"/>
      <w:rPr>
        <w:sz w:val="12"/>
        <w:szCs w:val="1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100" w:before="10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line="240" w:lineRule="auto"/>
      <w:contextualSpacing w:val="1"/>
    </w:pPr>
    <w:rPr>
      <w:b w:val="1"/>
      <w:sz w:val="32"/>
      <w:szCs w:val="32"/>
    </w:rPr>
  </w:style>
  <w:style w:type="paragraph" w:styleId="Heading2">
    <w:name w:val="heading 2"/>
    <w:basedOn w:val="Normal"/>
    <w:next w:val="Normal"/>
    <w:pPr>
      <w:keepNext w:val="1"/>
      <w:keepLines w:val="1"/>
      <w:pBdr/>
      <w:spacing w:after="100" w:before="200" w:line="240" w:lineRule="auto"/>
      <w:contextualSpacing w:val="1"/>
    </w:pPr>
    <w:rPr>
      <w:b w:val="1"/>
      <w:sz w:val="28"/>
      <w:szCs w:val="28"/>
    </w:rPr>
  </w:style>
  <w:style w:type="paragraph" w:styleId="Heading3">
    <w:name w:val="heading 3"/>
    <w:basedOn w:val="Normal"/>
    <w:next w:val="Normal"/>
    <w:pPr>
      <w:keepNext w:val="1"/>
      <w:keepLines w:val="1"/>
      <w:pBdr/>
      <w:spacing w:after="80" w:before="160" w:line="240" w:lineRule="auto"/>
      <w:contextualSpacing w:val="1"/>
    </w:pPr>
    <w:rPr>
      <w:b w:val="1"/>
      <w:sz w:val="24"/>
      <w:szCs w:val="24"/>
    </w:rPr>
  </w:style>
  <w:style w:type="paragraph" w:styleId="Heading4">
    <w:name w:val="heading 4"/>
    <w:basedOn w:val="Normal"/>
    <w:next w:val="Normal"/>
    <w:pPr>
      <w:keepNext w:val="1"/>
      <w:keepLines w:val="1"/>
      <w:pBdr/>
      <w:spacing w:after="80" w:before="160" w:line="240" w:lineRule="auto"/>
      <w:contextualSpacing w:val="1"/>
    </w:pPr>
    <w:rPr>
      <w:b w:val="1"/>
    </w:rPr>
  </w:style>
  <w:style w:type="paragraph" w:styleId="Heading5">
    <w:name w:val="heading 5"/>
    <w:basedOn w:val="Normal"/>
    <w:next w:val="Normal"/>
    <w:pPr>
      <w:keepNext w:val="1"/>
      <w:keepLines w:val="1"/>
      <w:pBdr/>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Bdr/>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Bdr/>
      <w:spacing w:line="240" w:lineRule="auto"/>
      <w:contextualSpacing w:val="1"/>
      <w:jc w:val="center"/>
    </w:pPr>
    <w:rPr>
      <w:b w:val="1"/>
      <w:sz w:val="44"/>
      <w:szCs w:val="44"/>
    </w:rPr>
  </w:style>
  <w:style w:type="paragraph" w:styleId="Subtitle">
    <w:name w:val="Subtitle"/>
    <w:basedOn w:val="Normal"/>
    <w:next w:val="Normal"/>
    <w:pPr>
      <w:keepNext w:val="1"/>
      <w:keepLines w:val="1"/>
      <w:pBdr/>
      <w:spacing w:after="200" w:before="0" w:lineRule="auto"/>
      <w:contextualSpacing w:val="1"/>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3.png"/></Relationships>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Cg0f2XvB7qjYw48a+yVF88QRpxo=</DigestValue>
    </Reference>
    <Reference URI="#idOfficeObject" Type="http://www.w3.org/2000/09/xmldsig#Object">
      <DigestMethod Algorithm="http://www.w3.org/2000/09/xmldsig#sha1"/>
      <DigestValue>4SOqEzDdzGGZpIxH8Alo49YugLw=</DigestValue>
    </Reference>
  </SignedInfo>
  <SignatureValue>
    Hfk0atlhU43HKOL2H4nu4EoXn4tVI6UIlvneUyC4wHIcOm7hhi+ZL611EY51uZ+38rqrJpQX
    x2Lx0G/w6mXdapc6rtcB149sEam91nd59Fk/WC48zND0RDyUiryz+SoXjybSLjLJLNmh3vSX
    Xnwpq0LYhVuehF7h1fWJcu5Kdj1U28Iz4SMLUggwoRTtCyDOZw75TWYN36ApcrIEkJmifDbo
    GSGUE4vgirSviTbF9oByLGgjVqXU52vyU+5i3yQEAhnXWsQ7xEsmsfZL2g7pATv7b9IfmDQ6
    +8I3MTl6YzR0Pa+Fqzz2icLf4j/FKImQeIvtz4TXO+JF71XZVN4Lhw==
  </SignatureValue>
  <KeyInfo>
    <KeyValue>
      <RSAKeyValue>
        <Modulus>
            taBk+jSmqKfvQHgyEm+V+7taC+28jVat1e5wSabSxLNm/emQZVJS2LJd4Ne23dnMLQM+lgeT
            c1K85C0bNyglJlE574FXzp3j6jPfVy7WVvgaxe0vwgzHJ5eauWyCj+PdPB+CdZvsYIuRl8TV
            SPeBDplxlqlaHlCfGx6bkIFzHuQpbuDeem4BfUYWzpg/wzWSP63Q9WNJCE4bi0YSzKyy7QDB
            Ds4agfywAy03yofhjPVUZFc2MPd6Or+Mq7HhTCD3QCwCnVwhBjf+JVNa0gaeUYARssrRAmv4
            d3oG+DVsE7qdqyZ/Otb0RJBMQ6dhfHtgF6JLqU7G8/tHwGNNcGoCiw==
          </Modulus>
        <Exponent>AQAB</Exponent>
      </RSAKeyValue>
    </KeyValue>
    <X509Data>
      <X509Certificate>
          MIIHwjCCBqqgAwIBAgIDIKViMA0GCSqGSIb3DQEBCwUAMF8xCzAJBgNVBAYTAkNaMSwwKgYD
          VQQKDCPEjGVza8OhIHBvxaF0YSwgcy5wLiBbScSMIDQ3MTE0OTgzXTEiMCAGA1UEAxMZUG9z
          dFNpZ251bSBRdWFsaWZpZWQgQ0EgMjAeFw0xNjEyMTYxMzEwMjNaFw0xNzEyMTYxMzEwMjNa
          MIHDMQswCQYDVQQGEwJDWjEXMBUGA1UEYRMOTlRSQ1otNjE5NzQ3NTcxNTAzBgNVBAoMLERv
          cHJhdm7DrSBwb2RuaWsgT3N0cmF2YSBhLnMuIFtJxIwgNjE5NzQ3NTddMQ4wDAYDVQQLEwUx
          MTI1MDEdMBsGA1UEAwwUQmMuIEthcmxhIEhvbHXFoW92w6ExEzARBgNVBAQMCkhvbHXFoW92
          w6ExDjAMBgNVBCoTBUthcmxhMRAwDgYDVQQFEwdQNTc0NzgxMIIBIjANBgkqhkiG9w0BAQEF
          AAOCAQ8AMIIBCgKCAQEAtaBk+jSmqKfvQHgyEm+V+7taC+28jVat1e5wSabSxLNm/emQZVJS
          2LJd4Ne23dnMLQM+lgeTc1K85C0bNyglJlE574FXzp3j6jPfVy7WVvgaxe0vwgzHJ5eauWyC
          j+PdPB+CdZvsYIuRl8TVSPeBDplxlqlaHlCfGx6bkIFzHuQpbuDeem4BfUYWzpg/wzWSP63Q
          9WNJCE4bi0YSzKyy7QDBDs4agfywAy03yofhjPVUZFc2MPd6Or+Mq7HhTCD3QCwCnVwhBjf+
          JVNa0gaeUYARssrRAmv4d3oG+DVsE7qdqyZ/Otb0RJBMQ6dhfHtgF6JLqU7G8/tHwGNNcGoC
          iwIDAQABo4IEIDCCBBwwQQYDVR0RBDowOIEQa2hvbHVzb3ZhQGRwby5jeqAZBgkrBgEEAdwZ
          AgGgDBMKMTU4MDM4MzQwOaAJBgNVBA2gAhMAMAkGA1UdEwQCMAAwggErBgNVHSAEggEiMIIB
          HjCCAQ8GCGeBBgEEARFkMIIBATCB2AYIKwYBBQUHAgIwgcsagchUZW50byBrdmFsaWZpa292
          YW55IGNlcnRpZmlrYXQgcHJvIGVsZWt0cm9uaWNreSBwb2RwaXMgYnlsIHZ5ZGFuIHYgc291
          bGFkdSBzIG5hcml6ZW5pbSBFVSBjLiA5MTAvMjAxNC5UaGlzIGlzIGEgcXVhbGlmaWVkIGNl
          cnRpZmljYXRlIGZvciBlbGVjdHJvbmljIHNpZ25hdHVyZSBhY2NvcmRpbmcgdG8gUmVndWxh
          dGlvbiAoRVUpIE5vIDkxMC8yMDE0LjAkBggrBgEFBQcCARYYaHR0cDovL3d3dy5wb3N0c2ln
          bnVtLmN6MAkGBwQAi+xAAQAwgZsGCCsGAQUFBwEDBIGOMIGLMAgGBgQAjkYBATBqBgYEAI5G
          AQUwYDAuFihodHRwczovL3d3dy5wb3N0c2lnbnVtLmN6L3Bkcy9wZHNfZW4ucGRmEwJlbjAu
          FihodHRwczovL3d3dy5wb3N0c2lnbnVtLmN6L3Bkcy9wZHNfY3MucGRmEwJjczATBgYEAI5G
          AQYwCQYHBACORgEGATCB+gYIKwYBBQUHAQEEge0wgeowOwYIKwYBBQUHMAKGL2h0dHA6Ly93
          d3cucG9zdHNpZ251bS5jei9jcnQvcHNxdWFsaWZpZWRjYTIuY3J0MDwGCCsGAQUFBzAChjBo
          dHRwOi8vd3d3Mi5wb3N0c2lnbnVtLmN6L2NydC9wc3F1YWxpZmllZGNhMi5jcnQwOwYIKwYB
          BQUHMAKGL2h0dHA6Ly9wb3N0c2lnbnVtLnR0Yy5jei9jcnQvcHNxdWFsaWZpZWRjYTIuY3J0
          MDAGCCsGAQUFBzABhiRodHRwOi8vb2NzcC5wb3N0c2lnbnVtLmN6L09DU1AvUUNBMi8wDgYD
          VR0PAQH/BAQDAgXgMB8GA1UdIwQYMBaAFInoTN+LJjk+1yQuEg565+Yn5daXMIGxBgNVHR8E
          gakwgaYwNaAzoDGGL2h0dHA6Ly93d3cucG9zdHNpZ251bS5jei9jcmwvcHNxdWFsaWZpZWRj
          YTIuY3JsMDagNKAyhjBodHRwOi8vd3d3Mi5wb3N0c2lnbnVtLmN6L2NybC9wc3F1YWxpZmll
          ZGNhMi5jcmwwNaAzoDGGL2h0dHA6Ly9wb3N0c2lnbnVtLnR0Yy5jei9jcmwvcHNxdWFsaWZp
          ZWRjYTIuY3JsMB0GA1UdDgQWBBSQgohG43wGMVG6qAnXyz4HDWNbfzANBgkqhkiG9w0BAQsF
          AAOCAQEAcdaRbP7kmn/G2+WXA7nzhQ4IsWGqGJrxVaQXDKUO2UB8twEwj6Os+BTIQ2JDrSaG
          /U/7T+DyBSUsb0p8/qW602NkqLpKJro0c2+MMXIP5ZeAsVd5gmfWJZCg0pVHr749YhwV+Z4d
          Xn51k/S8p+x6+qb6VzdVB8lVpmX7VZ8Jz+xgOtZnNsDVZG6R674IRztr1v8tkRxwUUNYHH6Y
          v2OXgBjWrnM2vh1cfQx8YlruF6gL1745A0hp+O3ZaMYWDv9lxhd9plXPZKq+ZHTviIE2k2BA
          eyfwh9kkrdfm8egtgYgUzyF/69ie88vIwN1/D3z0b50p6xtxkjTsdhbnnGzIDw==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6"/>
            <mdssi:RelationshipReference SourceId="rId5"/>
            <mdssi:RelationshipReference SourceId="rId4"/>
          </Transform>
          <Transform Algorithm="http://www.w3.org/TR/2001/REC-xml-c14n-20010315"/>
        </Transforms>
        <DigestMethod Algorithm="http://www.w3.org/2000/09/xmldsig#sha1"/>
        <DigestValue>Sz6XYnkJ6rO+lPb0BwAdqI9tDmQ=</DigestValue>
      </Reference>
      <Reference URI="/word/_rels/head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m8tbTqcKOJdQIWB9+qdSfDh3vlg=</DigestValue>
      </Reference>
      <Reference URI="/word/document.xml?ContentType=application/vnd.openxmlformats-officedocument.wordprocessingml.document.main+xml">
        <DigestMethod Algorithm="http://www.w3.org/2000/09/xmldsig#sha1"/>
        <DigestValue>p2pk4w5xdnKeTtU/ctCGgHmrzZI=</DigestValue>
      </Reference>
      <Reference URI="/word/fontTable.xml?ContentType=application/vnd.openxmlformats-officedocument.wordprocessingml.fontTable+xml">
        <DigestMethod Algorithm="http://www.w3.org/2000/09/xmldsig#sha1"/>
        <DigestValue>ZlUUvLDTYdnva1vUJHMk4165dnk=</DigestValue>
      </Reference>
      <Reference URI="/word/footer1.xml?ContentType=application/vnd.openxmlformats-officedocument.wordprocessingml.footer+xml">
        <DigestMethod Algorithm="http://www.w3.org/2000/09/xmldsig#sha1"/>
        <DigestValue>5v6Z9P7sywFLAVMQCpZnSkYvXbk=</DigestValue>
      </Reference>
      <Reference URI="/word/header1.xml?ContentType=application/vnd.openxmlformats-officedocument.wordprocessingml.header+xml">
        <DigestMethod Algorithm="http://www.w3.org/2000/09/xmldsig#sha1"/>
        <DigestValue>cQhWlxDC11M1xwZqayfoy7E1xmE=</DigestValue>
      </Reference>
      <Reference URI="/word/media/image3.png?ContentType=image/png">
        <DigestMethod Algorithm="http://www.w3.org/2000/09/xmldsig#sha1"/>
        <DigestValue>isiQRwRz4uNBi+nltdIPGLyU7XI=</DigestValue>
      </Reference>
      <Reference URI="/word/media/image4.png?ContentType=image/png">
        <DigestMethod Algorithm="http://www.w3.org/2000/09/xmldsig#sha1"/>
        <DigestValue>DP18KEdFcbjX/60yoRZ2KVkpO6g=</DigestValue>
      </Reference>
      <Reference URI="/word/numbering.xml?ContentType=application/vnd.openxmlformats-officedocument.wordprocessingml.numbering+xml">
        <DigestMethod Algorithm="http://www.w3.org/2000/09/xmldsig#sha1"/>
        <DigestValue>PzaWi7hi93jgwhUnJIu3SxyKrJ8=</DigestValue>
      </Reference>
      <Reference URI="/word/settings.xml?ContentType=application/vnd.openxmlformats-officedocument.wordprocessingml.settings+xml">
        <DigestMethod Algorithm="http://www.w3.org/2000/09/xmldsig#sha1"/>
        <DigestValue>3+EHhPnJcvfuU0yI0O7bofRqXls=</DigestValue>
      </Reference>
      <Reference URI="/word/styles.xml?ContentType=application/vnd.openxmlformats-officedocument.wordprocessingml.styles+xml">
        <DigestMethod Algorithm="http://www.w3.org/2000/09/xmldsig#sha1"/>
        <DigestValue>oCfzFvva2RB7kKsiSE/z1lKJ278=</DigestValue>
      </Reference>
    </Manifest>
    <SignatureProperties>
      <SignatureProperty Id="idSignatureTime" Target="#idPackageSignature">
        <mdssi:SignatureTime>
          <mdssi:Format>YYYY-MM-DDThh:mm:ssTZD</mdssi:Format>
          <mdssi:Value>2017-07-03T08:51:31Z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