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word/settings.xml" ContentType="application/vnd.openxmlformats-officedocument.wordprocessingml.settings+xml"/>
  <Override PartName="/word/footer1.xml" ContentType="application/vnd.openxmlformats-officedocument.wordprocessingml.footer+xml"/>
  <Default Extension="sigs" ContentType="application/vnd.openxmlformats-package.digital-signature-origin"/>
  <Override PartName="/word/fontTable.xml" ContentType="application/vnd.openxmlformats-officedocument.wordprocessingml.fontTable+xml"/>
  <Override PartName="/word/header1.xml" ContentType="application/vnd.openxmlformats-officedocument.wordprocessingml.header+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2" Type="http://schemas.openxmlformats.org/package/2006/relationships/digital-signature/origin" Target="_xmlsignatures/origin.sig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pBdr/>
        <w:contextualSpacing w:val="0"/>
        <w:rPr/>
      </w:pPr>
      <w:bookmarkStart w:colFirst="0" w:colLast="0" w:name="_s0tyulx0gl9w" w:id="0"/>
      <w:bookmarkEnd w:id="0"/>
      <w:r w:rsidDel="00000000" w:rsidR="00000000" w:rsidRPr="00000000">
        <w:rPr>
          <w:rtl w:val="0"/>
        </w:rPr>
        <w:t xml:space="preserve">Dohoda o zachování mlčenlivosti - příloha č. 10 SD</w:t>
      </w:r>
    </w:p>
    <w:p w:rsidR="00000000" w:rsidDel="00000000" w:rsidP="00000000" w:rsidRDefault="00000000" w:rsidRPr="00000000">
      <w:pPr>
        <w:pBdr/>
        <w:contextualSpacing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pBdr/>
        <w:contextualSpacing w:val="0"/>
        <w:rPr>
          <w:i w:val="1"/>
        </w:rPr>
      </w:pPr>
      <w:r w:rsidDel="00000000" w:rsidR="00000000" w:rsidRPr="00000000">
        <w:rPr>
          <w:i w:val="1"/>
          <w:rtl w:val="0"/>
        </w:rPr>
        <w:t xml:space="preserve">uzavřená v souladu s ustanovením § 1746 odst. 2 zákona č. 89/2012 Sb., občanského zákoníku § 269 odst. 2 zákona č. 513/1991 Sb., obchodní zákoník, ve znění pozdějších předpisů (dále jen „Dohoda“)</w:t>
      </w:r>
    </w:p>
    <w:p w:rsidR="00000000" w:rsidDel="00000000" w:rsidP="00000000" w:rsidRDefault="00000000" w:rsidRPr="00000000">
      <w:pPr>
        <w:pBdr/>
        <w:contextualSpacing w:val="0"/>
        <w:rPr/>
      </w:pPr>
      <w:r w:rsidDel="00000000" w:rsidR="00000000" w:rsidRPr="00000000">
        <w:rPr>
          <w:rtl w:val="0"/>
        </w:rPr>
        <w:t xml:space="preserve">mezi</w:t>
      </w:r>
    </w:p>
    <w:p w:rsidR="00000000" w:rsidDel="00000000" w:rsidP="00000000" w:rsidRDefault="00000000" w:rsidRPr="00000000">
      <w:pPr>
        <w:pBdr/>
        <w:spacing w:after="0" w:before="0" w:lineRule="auto"/>
        <w:contextualSpacing w:val="0"/>
        <w:rPr>
          <w:b w:val="1"/>
        </w:rPr>
      </w:pPr>
      <w:r w:rsidDel="00000000" w:rsidR="00000000" w:rsidRPr="00000000">
        <w:rPr>
          <w:b w:val="1"/>
          <w:rtl w:val="0"/>
        </w:rPr>
        <w:t xml:space="preserve">Dopravní podnik Ostrava a.s.</w:t>
      </w:r>
    </w:p>
    <w:p w:rsidR="00000000" w:rsidDel="00000000" w:rsidP="00000000" w:rsidRDefault="00000000" w:rsidRPr="00000000">
      <w:pPr>
        <w:pBdr/>
        <w:spacing w:after="0" w:before="0" w:lineRule="auto"/>
        <w:contextualSpacing w:val="0"/>
        <w:rPr/>
      </w:pPr>
      <w:r w:rsidDel="00000000" w:rsidR="00000000" w:rsidRPr="00000000">
        <w:rPr>
          <w:rtl w:val="0"/>
        </w:rPr>
        <w:t xml:space="preserve">se sídlem:                       </w:t>
        <w:tab/>
        <w:t xml:space="preserve">Poděbradova 494/2, Moravská Ostrava, 702 00 Ostrava</w:t>
      </w:r>
    </w:p>
    <w:p w:rsidR="00000000" w:rsidDel="00000000" w:rsidP="00000000" w:rsidRDefault="00000000" w:rsidRPr="00000000">
      <w:pPr>
        <w:pBdr/>
        <w:spacing w:after="0" w:before="0" w:lineRule="auto"/>
        <w:contextualSpacing w:val="0"/>
        <w:rPr/>
      </w:pPr>
      <w:r w:rsidDel="00000000" w:rsidR="00000000" w:rsidRPr="00000000">
        <w:rPr>
          <w:rtl w:val="0"/>
        </w:rPr>
        <w:t xml:space="preserve">IČ:                                      </w:t>
        <w:tab/>
        <w:t xml:space="preserve">61974757</w:t>
      </w:r>
    </w:p>
    <w:p w:rsidR="00000000" w:rsidDel="00000000" w:rsidP="00000000" w:rsidRDefault="00000000" w:rsidRPr="00000000">
      <w:pPr>
        <w:pBdr/>
        <w:spacing w:after="0" w:before="0" w:lineRule="auto"/>
        <w:contextualSpacing w:val="0"/>
        <w:rPr/>
      </w:pPr>
      <w:r w:rsidDel="00000000" w:rsidR="00000000" w:rsidRPr="00000000">
        <w:rPr>
          <w:rtl w:val="0"/>
        </w:rPr>
        <w:t xml:space="preserve">DIČ:                                   </w:t>
        <w:tab/>
        <w:t xml:space="preserve">CZ61974757</w:t>
      </w:r>
    </w:p>
    <w:p w:rsidR="00000000" w:rsidDel="00000000" w:rsidP="00000000" w:rsidRDefault="00000000" w:rsidRPr="00000000">
      <w:pPr>
        <w:pBdr/>
        <w:spacing w:after="0" w:before="0" w:lineRule="auto"/>
        <w:contextualSpacing w:val="0"/>
        <w:rPr/>
      </w:pPr>
      <w:r w:rsidDel="00000000" w:rsidR="00000000" w:rsidRPr="00000000">
        <w:rPr>
          <w:rtl w:val="0"/>
        </w:rPr>
        <w:t xml:space="preserve">údaj o zápisu v OR:     </w:t>
        <w:tab/>
        <w:t xml:space="preserve">B 1104 vedená u Krajského soudu v Ostravě</w:t>
      </w:r>
    </w:p>
    <w:p w:rsidR="00000000" w:rsidDel="00000000" w:rsidP="00000000" w:rsidRDefault="00000000" w:rsidRPr="00000000">
      <w:pPr>
        <w:pBdr/>
        <w:contextualSpacing w:val="0"/>
        <w:rPr/>
      </w:pPr>
      <w:r w:rsidDel="00000000" w:rsidR="00000000" w:rsidRPr="00000000">
        <w:rPr>
          <w:rtl w:val="0"/>
        </w:rPr>
        <w:t xml:space="preserve">(dále jen „Předávající“)</w:t>
      </w:r>
    </w:p>
    <w:p w:rsidR="00000000" w:rsidDel="00000000" w:rsidP="00000000" w:rsidRDefault="00000000" w:rsidRPr="00000000">
      <w:pPr>
        <w:pBdr/>
        <w:contextualSpacing w:val="0"/>
        <w:rPr/>
      </w:pPr>
      <w:r w:rsidDel="00000000" w:rsidR="00000000" w:rsidRPr="00000000">
        <w:rPr>
          <w:rtl w:val="0"/>
        </w:rPr>
        <w:t xml:space="preserve">a</w:t>
      </w:r>
    </w:p>
    <w:p w:rsidR="00000000" w:rsidDel="00000000" w:rsidP="00000000" w:rsidRDefault="00000000" w:rsidRPr="00000000">
      <w:pPr>
        <w:pBdr/>
        <w:spacing w:after="0" w:before="0" w:lineRule="auto"/>
        <w:contextualSpacing w:val="0"/>
        <w:rPr/>
      </w:pPr>
      <w:r w:rsidDel="00000000" w:rsidR="00000000" w:rsidRPr="00000000">
        <w:rPr>
          <w:rtl w:val="0"/>
        </w:rPr>
      </w:r>
    </w:p>
    <w:p w:rsidR="00000000" w:rsidDel="00000000" w:rsidP="00000000" w:rsidRDefault="00000000" w:rsidRPr="00000000">
      <w:pPr>
        <w:pBdr/>
        <w:spacing w:after="0" w:before="0" w:lineRule="auto"/>
        <w:contextualSpacing w:val="0"/>
        <w:rPr/>
      </w:pPr>
      <w:r w:rsidDel="00000000" w:rsidR="00000000" w:rsidRPr="00000000">
        <w:rPr>
          <w:rtl w:val="0"/>
        </w:rPr>
        <w:t xml:space="preserve">se sídlem/místem podnikání:</w:t>
      </w:r>
    </w:p>
    <w:p w:rsidR="00000000" w:rsidDel="00000000" w:rsidP="00000000" w:rsidRDefault="00000000" w:rsidRPr="00000000">
      <w:pPr>
        <w:pBdr/>
        <w:spacing w:after="0" w:before="0" w:lineRule="auto"/>
        <w:contextualSpacing w:val="0"/>
        <w:rPr/>
      </w:pPr>
      <w:r w:rsidDel="00000000" w:rsidR="00000000" w:rsidRPr="00000000">
        <w:rPr>
          <w:rtl w:val="0"/>
        </w:rPr>
        <w:t xml:space="preserve">zastoupená/jednající:</w:t>
      </w:r>
    </w:p>
    <w:p w:rsidR="00000000" w:rsidDel="00000000" w:rsidP="00000000" w:rsidRDefault="00000000" w:rsidRPr="00000000">
      <w:pPr>
        <w:pBdr/>
        <w:spacing w:after="0" w:before="0" w:lineRule="auto"/>
        <w:contextualSpacing w:val="0"/>
        <w:rPr/>
      </w:pPr>
      <w:r w:rsidDel="00000000" w:rsidR="00000000" w:rsidRPr="00000000">
        <w:rPr>
          <w:rtl w:val="0"/>
        </w:rPr>
        <w:t xml:space="preserve">IČ:                                      </w:t>
        <w:tab/>
      </w:r>
    </w:p>
    <w:p w:rsidR="00000000" w:rsidDel="00000000" w:rsidP="00000000" w:rsidRDefault="00000000" w:rsidRPr="00000000">
      <w:pPr>
        <w:pBdr/>
        <w:spacing w:after="0" w:before="0" w:lineRule="auto"/>
        <w:contextualSpacing w:val="0"/>
        <w:rPr/>
      </w:pPr>
      <w:r w:rsidDel="00000000" w:rsidR="00000000" w:rsidRPr="00000000">
        <w:rPr>
          <w:rtl w:val="0"/>
        </w:rPr>
        <w:t xml:space="preserve">DIČ:                                   </w:t>
        <w:tab/>
      </w:r>
    </w:p>
    <w:p w:rsidR="00000000" w:rsidDel="00000000" w:rsidP="00000000" w:rsidRDefault="00000000" w:rsidRPr="00000000">
      <w:pPr>
        <w:pBdr/>
        <w:spacing w:after="0" w:before="0" w:lineRule="auto"/>
        <w:contextualSpacing w:val="0"/>
        <w:rPr/>
      </w:pPr>
      <w:r w:rsidDel="00000000" w:rsidR="00000000" w:rsidRPr="00000000">
        <w:rPr>
          <w:rtl w:val="0"/>
        </w:rPr>
        <w:t xml:space="preserve">údaj o zápisu v OR:                     </w:t>
        <w:tab/>
      </w:r>
    </w:p>
    <w:p w:rsidR="00000000" w:rsidDel="00000000" w:rsidP="00000000" w:rsidRDefault="00000000" w:rsidRPr="00000000">
      <w:pPr>
        <w:pBdr/>
        <w:contextualSpacing w:val="0"/>
        <w:rPr/>
      </w:pPr>
      <w:r w:rsidDel="00000000" w:rsidR="00000000" w:rsidRPr="00000000">
        <w:rPr>
          <w:rtl w:val="0"/>
        </w:rPr>
        <w:t xml:space="preserve">(dále jen „Přebírající“)</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Style w:val="Heading2"/>
        <w:numPr>
          <w:ilvl w:val="0"/>
          <w:numId w:val="1"/>
        </w:numPr>
        <w:pBdr/>
        <w:ind w:left="720" w:hanging="360"/>
        <w:contextualSpacing w:val="1"/>
        <w:rPr/>
      </w:pPr>
      <w:bookmarkStart w:colFirst="0" w:colLast="0" w:name="_90t3zos8qfla" w:id="1"/>
      <w:bookmarkEnd w:id="1"/>
      <w:r w:rsidDel="00000000" w:rsidR="00000000" w:rsidRPr="00000000">
        <w:rPr>
          <w:rtl w:val="0"/>
        </w:rPr>
        <w:t xml:space="preserve">PREAMBULE</w:t>
      </w:r>
    </w:p>
    <w:p w:rsidR="00000000" w:rsidDel="00000000" w:rsidP="00000000" w:rsidRDefault="00000000" w:rsidRPr="00000000">
      <w:pPr>
        <w:pStyle w:val="Heading3"/>
        <w:pBdr/>
        <w:ind w:left="712.6771653543307" w:firstLine="0"/>
        <w:contextualSpacing w:val="0"/>
        <w:rPr/>
      </w:pPr>
      <w:bookmarkStart w:colFirst="0" w:colLast="0" w:name="_gruwl5jutrdj" w:id="2"/>
      <w:bookmarkEnd w:id="2"/>
      <w:r w:rsidDel="00000000" w:rsidR="00000000" w:rsidRPr="00000000">
        <w:rPr>
          <w:rtl w:val="0"/>
        </w:rPr>
        <w:t xml:space="preserve">VZHLEDEM K TOMU, ŽE:</w:t>
      </w:r>
    </w:p>
    <w:p w:rsidR="00000000" w:rsidDel="00000000" w:rsidP="00000000" w:rsidRDefault="00000000" w:rsidRPr="00000000">
      <w:pPr>
        <w:pBdr/>
        <w:ind w:left="712.6771653543307" w:firstLine="0"/>
        <w:contextualSpacing w:val="0"/>
        <w:rPr/>
      </w:pPr>
      <w:r w:rsidDel="00000000" w:rsidR="00000000" w:rsidRPr="00000000">
        <w:rPr>
          <w:rtl w:val="0"/>
        </w:rPr>
        <w:t xml:space="preserve">Předávající je zadavatelem veřejné zakázky zadávané v otevřeném řízení podle ustanovení § 56 a násl. zákona č. 134/2016 Sb., o zadávání veřejných zakázek, ve znění pozdějších předpisů (dále jen „zákon o veřejných zakázkách“) s názvem </w:t>
      </w:r>
    </w:p>
    <w:p w:rsidR="00000000" w:rsidDel="00000000" w:rsidP="00000000" w:rsidRDefault="00000000" w:rsidRPr="00000000">
      <w:pPr>
        <w:pBdr/>
        <w:ind w:left="712.6771653543307" w:firstLine="0"/>
        <w:contextualSpacing w:val="0"/>
        <w:rPr/>
      </w:pPr>
      <w:r w:rsidDel="00000000" w:rsidR="00000000" w:rsidRPr="00000000">
        <w:rPr>
          <w:b w:val="1"/>
          <w:rtl w:val="0"/>
        </w:rPr>
        <w:t xml:space="preserve">„Implementace inteligentních dopravních systémů“</w:t>
      </w:r>
      <w:r w:rsidDel="00000000" w:rsidR="00000000" w:rsidRPr="00000000">
        <w:rPr>
          <w:rtl w:val="0"/>
        </w:rPr>
        <w:t xml:space="preserve"> Zavedení a modernizace odbavovacích systémů MHD v Ostravě“ (dále jen „Veřejná zakázka“);</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Přebírající je dodavatelem ve smyslu zákona o veřejných zakázkách, který se hodlá účastnit či zvažuje podání nabídky v zadávacím řízení na Veřejnou zakázku;</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Zadávací dokumentace obsahuje mj. Přílohy č. 1, které jsou přílohou technické části zadávací dokumentace (její Přílohy č. 1), a má povahu obchodního tajemství, resp. obsahují informace vysoce důvěrného charakteru z hlediska kompletního nastavení, konfigurace a zabezpečení odbavovacího systému Předávajícího či jiných dotčených organizací, jejichž zpřístupnění a případné zneužití by bylo způsobilé ohrozit chod celého systému a ochromit plnění smluvně převzatých závazků a případně i dopravy v rámci celého Moravskoslezského kraje.</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Vzhledem k tomu, že pro účely zhodnocení veškerých aspektů spojených s účastí Přebírajícího v zadávacím řízení, které se týká Veřejné zakázky, je nezbytné, aby Přebírajícímu byly poskytnuty zadávací podmínky v plném rozsahu, tj. vč. přílohy uvedené v odst. 3, případně dodatečné informace k uvedeným přílohám (dále souhrnně jen „Materiál“), který Předávající považuje s ohledem na jeho obsah za důvěrný, Předávající a Přebírající se tímto dohodli, že Předávající zpřístupní pro účely účasti Přebírajícího v zadávacím řízení na Veřejnou zakázku Materiál za podmínek v této Dohodě uvedených.</w:t>
      </w:r>
    </w:p>
    <w:p w:rsidR="00000000" w:rsidDel="00000000" w:rsidP="00000000" w:rsidRDefault="00000000" w:rsidRPr="00000000">
      <w:pPr>
        <w:pStyle w:val="Heading2"/>
        <w:numPr>
          <w:ilvl w:val="0"/>
          <w:numId w:val="1"/>
        </w:numPr>
        <w:pBdr/>
        <w:ind w:left="720" w:hanging="360"/>
        <w:contextualSpacing w:val="1"/>
        <w:rPr/>
      </w:pPr>
      <w:bookmarkStart w:colFirst="0" w:colLast="0" w:name="_iqnrjclnxmmx" w:id="3"/>
      <w:bookmarkEnd w:id="3"/>
      <w:r w:rsidDel="00000000" w:rsidR="00000000" w:rsidRPr="00000000">
        <w:rPr>
          <w:rtl w:val="0"/>
        </w:rPr>
        <w:t xml:space="preserve">PŘEDMĚT DOHODY</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Předmětem této Dohody je závazek Přebírajícího zachovat důvěrnost a utajení veškerých informací, které jsou obsaženy v Materiálu či které dále Přebírající obdrží od Předávajícího v přímé souvislosti s Materiálem (např. i ve formě dodatečných informací k zadávacím podmínkám, které budou mít přímou souvislost s Materiálem). Předávající předá na základě této Dohody Materiál v elektronické formě na CD oprávněné osobě Přebírajícího, která podepsanou Dohodu osobně doručí Předávajícímu, Mgr. Magdaléna Poncza, advokát advokátní kanceláře PONCZA I ŠRÁMEK, Českobratrská 1403/2, vila Antonia, 702 00 Ostrava – Moravská Ostrava, </w:t>
      </w:r>
      <w:hyperlink r:id="rId5">
        <w:r w:rsidDel="00000000" w:rsidR="00000000" w:rsidRPr="00000000">
          <w:rPr>
            <w:color w:val="1155cc"/>
            <w:u w:val="single"/>
            <w:rtl w:val="0"/>
          </w:rPr>
          <w:t xml:space="preserve">poncza@poncza-sramek.cz</w:t>
        </w:r>
      </w:hyperlink>
      <w:r w:rsidDel="00000000" w:rsidR="00000000" w:rsidRPr="00000000">
        <w:rPr>
          <w:rtl w:val="0"/>
        </w:rPr>
        <w:t xml:space="preserve">.</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Tato Dohoda se vztahuje na veškeré informace definované v předchozím odstavci bez ohledu na to, zda se Přebírající tyto informace dozvěděl od Předávajícího, jeho pracovníků, zástupců, spolupracovníků, konzultantů či jiných osob.</w:t>
      </w:r>
    </w:p>
    <w:p w:rsidR="00000000" w:rsidDel="00000000" w:rsidP="00000000" w:rsidRDefault="00000000" w:rsidRPr="00000000">
      <w:pPr>
        <w:pStyle w:val="Heading2"/>
        <w:numPr>
          <w:ilvl w:val="0"/>
          <w:numId w:val="1"/>
        </w:numPr>
        <w:pBdr/>
        <w:ind w:left="720" w:hanging="360"/>
        <w:contextualSpacing w:val="1"/>
        <w:rPr/>
      </w:pPr>
      <w:bookmarkStart w:colFirst="0" w:colLast="0" w:name="_tg4v6k302jjx" w:id="4"/>
      <w:bookmarkEnd w:id="4"/>
      <w:r w:rsidDel="00000000" w:rsidR="00000000" w:rsidRPr="00000000">
        <w:rPr>
          <w:rtl w:val="0"/>
        </w:rPr>
        <w:t xml:space="preserve">POVINNOSTI PŘEBÍRAJÍCÍHO</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Přebírající se podpisem této Dohody zavazuje k ochraně obchodního tajemství, jež bylo ze strany Předávajícího poskytnuto či jinak zpřístupněno Přebírajícímu. Přebírající se současně zavazuje, pokud není v této Dohodě výslovně stanoveno jinak, že předaný Materiál nebo informace v něm obsažené nebude dále rozšiřovat nebo reprodukovat, nezpřístupní je třetí straně a že zabezpečí, aby veškeré obchodní tajemství související s Materiálem bylo řádně evidováno.</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Přebírající se zavazuje, že přijme veškerá opatření k tomu, aby ochránil obchodní tajemství sdělené mu Předávajícím v Materiálu nebo v souvislosti s ním, aby toto obchodní tajemství nebylo zpřístupněno veřejnosti nebo jakýmkoliv třetím osobám, není-li v této Dohodě výslovně stanoveno jinak. Tato opatření zahrnují nejvyšší stupeň péče, kterou Přebírající využívá při ochraně svého obchodního tajemství podobné povahy, která nebude na nižší úrovni, než je péče řádného hospodáře. Přebírající bude písemně informovat Předávajícího o každém případném zneužití, použití k nesprávnému účelu nebo neoprávněnému sdělení obchodního tajemství či jeho části chráněné touto Dohodou, o kterém se dozví.</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Přebírající se zavazuje informace z Materiálu nebo s Materiálem jakkoliv související použít výhradně pro účely zpracování nabídky v předmětném zadávacím řízení na realizaci Veřejné zakázky.</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Přebírající omezí počet zaměstnanců pro styk s těmito chráněnými informacemi a přijme účinná opatření pro zamezení úniku takových informací.</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Materiál dle této Dohody a jakékoliv informace s ním související jsou Přebírajícímu zpřístupněny pouze pro účely jeho účasti v zadávacím řízení a po podání nabídky (či rozhodnutí Přebírajícího o další neúčasti v zadávacím řízení na Veřejnou zakázku, příp. rozhodnutí Předávajícího o zrušení zadávacího řízení) je Přebírající povinen Materiál a jakékoliv informace s ním související bezprostředně po skončení účinnosti této Dohody vrátit Předávajícímu, je-li to objektivně možné, popřípadě na jeho žádost skartovat či smazat záznam obsahující uvedené informace. Tato povinnost se vztahuje i na případně pořízené kopie. Informace případně sdělené ústně je Přebírající i nadále povinen chránit před zneužitím.</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V případě, že část Veřejné zakázky bude či má být plněna formou subdodávky, Přebírající je oprávněn zpřístupnit Materiál nebo jakékoliv informace s ním související pouze za předpokladu, že Přebírající zaváže třetí osobu (subdodavatele) plnící (resp. hodlající plnit) část Veřejné zakázky jako subdodávku k tomu, aby se ustanovení této Dohody vztahovaly i na ní a současně o tom bude neprodleně písemně informovat Předávajícího. Tím však není dotčena výlučná odpovědnost Přebírajícího za porušení jakéhokoliv ustanovení této Dohody a to i pro případ, že k porušení jakéhokoliv ustanovení této Dohody dojde ze strany třetí osoby (subdodavatele), které Materiál nebo jakékoliv informace s ním související zpřístupní za podmínek v tomto odstavci uvedených.</w:t>
      </w:r>
    </w:p>
    <w:p w:rsidR="00000000" w:rsidDel="00000000" w:rsidP="00000000" w:rsidRDefault="00000000" w:rsidRPr="00000000">
      <w:pPr>
        <w:pStyle w:val="Heading2"/>
        <w:numPr>
          <w:ilvl w:val="0"/>
          <w:numId w:val="1"/>
        </w:numPr>
        <w:pBdr/>
        <w:ind w:left="720" w:hanging="360"/>
        <w:contextualSpacing w:val="1"/>
        <w:rPr/>
      </w:pPr>
      <w:bookmarkStart w:colFirst="0" w:colLast="0" w:name="_12aquom05v07" w:id="5"/>
      <w:bookmarkEnd w:id="5"/>
      <w:r w:rsidDel="00000000" w:rsidR="00000000" w:rsidRPr="00000000">
        <w:rPr>
          <w:rtl w:val="0"/>
        </w:rPr>
        <w:t xml:space="preserve">SMLUVNÍ POKUTA A NÁHRADA ŠKODY</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Za porušení jakékoli povinnosti týkající se ochrany obchodního tajemství dle této Dohody má Předávající právo uplatnit u Přebírajícího smluvní pokutu.</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Přebírající je povinen zaplatit za porušení kterékoliv povinnosti stanovené v této Dohodě Předávajícímu smluvní pokutu ve výši 1.000.000,-Kč (slovy: jeden milion korun českých) za každé nikoliv zcela nepodstatné jednotlivé porušení povinnosti.</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Smluvní pokutu, na kterou vznikne Předávajícímu nárok z důvodu porušení kterékoliv povinnosti Přebírajícího stanovené v této Dohodě, je Přebírající povinen uhradit do 15 (slovy: patnácti) kalendářních dnů ode dne doručení výzvy k úhradě smluvní pokuty. Toto ustanovení o smluvní pokutě nemá vliv na právo Předávajícího požadovat po Přebírajícím vedle smluvní pokuty náhradu škody. </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Pokud bude Přebírající odpovědný za porušení jakékoli povinnosti dle této Dohody a takto způsobí Předávajícímu nebo třetí straně škodu anebo Přebírající či třetí osoba získá na základě takové skutečnosti majetkový prospěch, má Předávající vůči Přebírajícímu nárok na náhradu veškeré vzniklé škody, a to i ve výši přesahující výši smluvní pokuty. Dále má Přebírající povinnost vydat Předávajícímu bezdůvodné obohacení odpovídající majetkovému prospěchu Přebírajícího získanému v souvislosti s porušením této Dohody.</w:t>
      </w:r>
    </w:p>
    <w:p w:rsidR="00000000" w:rsidDel="00000000" w:rsidP="00000000" w:rsidRDefault="00000000" w:rsidRPr="00000000">
      <w:pPr>
        <w:pStyle w:val="Heading2"/>
        <w:numPr>
          <w:ilvl w:val="0"/>
          <w:numId w:val="1"/>
        </w:numPr>
        <w:pBdr/>
        <w:ind w:left="720" w:hanging="360"/>
        <w:contextualSpacing w:val="1"/>
        <w:rPr/>
      </w:pPr>
      <w:bookmarkStart w:colFirst="0" w:colLast="0" w:name="_96o9gbuprjy1" w:id="6"/>
      <w:bookmarkEnd w:id="6"/>
      <w:r w:rsidDel="00000000" w:rsidR="00000000" w:rsidRPr="00000000">
        <w:rPr>
          <w:rtl w:val="0"/>
        </w:rPr>
        <w:t xml:space="preserve">ZÁVĚREČNÁ USTANOVENÍ</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Tato Dohoda je vyhotovena ve dvou (2) vyhotoveních, z nichž Předávající a Přebírající obdrží každý po jednom (1) vyhotovení.</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Tato Dohoda představuje úplnou dohodu stran o obsahu této Dohody. Tuto Dohodu je možné měnit pouze písemnou dohodou stran ve formě dodatků této Dohody, podepsaných oprávněnými osobami obou stran.</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Strany prohlašují, že si tuto Dohodu přečetly, že s jejím obsahem souhlasí a na důkaz toho k ní připojují svoje podpisy.</w:t>
      </w:r>
    </w:p>
    <w:p w:rsidR="00000000" w:rsidDel="00000000" w:rsidP="00000000" w:rsidRDefault="00000000" w:rsidRPr="00000000">
      <w:pPr>
        <w:numPr>
          <w:ilvl w:val="1"/>
          <w:numId w:val="1"/>
        </w:numPr>
        <w:pBdr/>
        <w:ind w:left="1440" w:hanging="360"/>
        <w:contextualSpacing w:val="1"/>
      </w:pPr>
      <w:r w:rsidDel="00000000" w:rsidR="00000000" w:rsidRPr="00000000">
        <w:rPr>
          <w:rtl w:val="0"/>
        </w:rPr>
        <w:t xml:space="preserve">Tato Dohoda nabývá platnosti a účinnosti dnem podpisu oběma stranami a pozbývá účinnosti pouze dnem, kdy mezi sebou strany uzavřou smlouvu, která bude prokazatelně obsahovat přísnější ochranu obchodního tajemství Přebírajícím, popřípadě pokud se tak strany dohodnou.</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spacing w:after="0" w:before="0" w:lineRule="auto"/>
        <w:contextualSpacing w:val="0"/>
        <w:rPr/>
      </w:pPr>
      <w:r w:rsidDel="00000000" w:rsidR="00000000" w:rsidRPr="00000000">
        <w:rPr>
          <w:rtl w:val="0"/>
        </w:rPr>
      </w:r>
    </w:p>
    <w:p w:rsidR="00000000" w:rsidDel="00000000" w:rsidP="00000000" w:rsidRDefault="00000000" w:rsidRPr="00000000">
      <w:pPr>
        <w:pBdr/>
        <w:spacing w:after="0" w:before="0" w:lineRule="auto"/>
        <w:contextualSpacing w:val="0"/>
        <w:rPr/>
      </w:pPr>
      <w:r w:rsidDel="00000000" w:rsidR="00000000" w:rsidRPr="00000000">
        <w:rPr>
          <w:rtl w:val="0"/>
        </w:rPr>
        <w:t xml:space="preserve">V Ostravě dne ……………………………………</w:t>
      </w:r>
    </w:p>
    <w:p w:rsidR="00000000" w:rsidDel="00000000" w:rsidP="00000000" w:rsidRDefault="00000000" w:rsidRPr="00000000">
      <w:pPr>
        <w:pBdr/>
        <w:contextualSpacing w:val="0"/>
        <w:rPr/>
      </w:pPr>
      <w:r w:rsidDel="00000000" w:rsidR="00000000" w:rsidRPr="00000000">
        <w:rPr>
          <w:rtl w:val="0"/>
        </w:rPr>
        <w:t xml:space="preserve"> </w:t>
      </w:r>
    </w:p>
    <w:tbl>
      <w:tblPr>
        <w:tblStyle w:val="Table1"/>
        <w:bidiVisual w:val="0"/>
        <w:tblW w:w="9921.0" w:type="dxa"/>
        <w:jc w:val="left"/>
        <w:tblLayout w:type="fixed"/>
        <w:tblLook w:val="0600"/>
      </w:tblPr>
      <w:tblGrid>
        <w:gridCol w:w="4960.5"/>
        <w:gridCol w:w="4960.5"/>
        <w:tblGridChange w:id="0">
          <w:tblGrid>
            <w:gridCol w:w="4960.5"/>
            <w:gridCol w:w="4960.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rPr>
            </w:pPr>
            <w:r w:rsidDel="00000000" w:rsidR="00000000" w:rsidRPr="00000000">
              <w:rPr>
                <w:b w:val="1"/>
                <w:rtl w:val="0"/>
              </w:rPr>
              <w:t xml:space="preserve">Předávající</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b w:val="1"/>
              </w:rPr>
            </w:pPr>
            <w:r w:rsidDel="00000000" w:rsidR="00000000" w:rsidRPr="00000000">
              <w:rPr>
                <w:b w:val="1"/>
                <w:rtl w:val="0"/>
              </w:rPr>
              <w:t xml:space="preserve">Přebírající</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Ing. Daniel Morys MBA</w:t>
            </w:r>
          </w:p>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předseda představenstva</w:t>
            </w:r>
          </w:p>
          <w:p w:rsidR="00000000" w:rsidDel="00000000" w:rsidP="00000000" w:rsidRDefault="00000000" w:rsidRPr="00000000">
            <w:pPr>
              <w:pBdr/>
              <w:spacing w:after="0" w:before="0" w:line="240" w:lineRule="auto"/>
              <w:contextualSpacing w:val="0"/>
              <w:rPr/>
            </w:pPr>
            <w:r w:rsidDel="00000000" w:rsidR="00000000" w:rsidRPr="00000000">
              <w:rPr>
                <w:rtl w:val="0"/>
              </w:rPr>
              <w:t xml:space="preserve">Dopravní podnik Ostrava a.s.</w:t>
            </w:r>
          </w:p>
        </w:tc>
        <w:tc>
          <w:tcPr>
            <w:tcMar>
              <w:top w:w="100.0" w:type="dxa"/>
              <w:left w:w="100.0" w:type="dxa"/>
              <w:bottom w:w="100.0" w:type="dxa"/>
              <w:right w:w="100.0" w:type="dxa"/>
            </w:tcMar>
          </w:tcPr>
          <w:p w:rsidR="00000000" w:rsidDel="00000000" w:rsidP="00000000" w:rsidRDefault="00000000" w:rsidRPr="00000000">
            <w:pPr>
              <w:widowControl w:val="0"/>
              <w:pBdr/>
              <w:spacing w:after="0" w:before="0" w:line="240" w:lineRule="auto"/>
              <w:contextualSpacing w:val="0"/>
              <w:rPr/>
            </w:pPr>
            <w:r w:rsidDel="00000000" w:rsidR="00000000" w:rsidRPr="00000000">
              <w:rPr>
                <w:rtl w:val="0"/>
              </w:rPr>
            </w:r>
          </w:p>
          <w:p w:rsidR="00000000" w:rsidDel="00000000" w:rsidP="00000000" w:rsidRDefault="00000000" w:rsidRPr="00000000">
            <w:pPr>
              <w:widowControl w:val="0"/>
              <w:pBdr/>
              <w:spacing w:after="0" w:before="0" w:line="240" w:lineRule="auto"/>
              <w:contextualSpacing w:val="0"/>
              <w:rPr/>
            </w:pPr>
            <w:r w:rsidDel="00000000" w:rsidR="00000000" w:rsidRPr="00000000">
              <w:rPr>
                <w:rtl w:val="0"/>
              </w:rPr>
            </w:r>
          </w:p>
          <w:p w:rsidR="00000000" w:rsidDel="00000000" w:rsidP="00000000" w:rsidRDefault="00000000" w:rsidRPr="00000000">
            <w:pPr>
              <w:widowControl w:val="0"/>
              <w:pBdr/>
              <w:spacing w:after="0" w:before="0" w:line="240" w:lineRule="auto"/>
              <w:contextualSpacing w:val="0"/>
              <w:rPr/>
            </w:pPr>
            <w:r w:rsidDel="00000000" w:rsidR="00000000" w:rsidRPr="00000000">
              <w:rPr>
                <w:rtl w:val="0"/>
              </w:rPr>
            </w:r>
          </w:p>
          <w:p w:rsidR="00000000" w:rsidDel="00000000" w:rsidP="00000000" w:rsidRDefault="00000000" w:rsidRPr="00000000">
            <w:pPr>
              <w:widowControl w:val="0"/>
              <w:pBdr/>
              <w:spacing w:after="0" w:before="0" w:line="240" w:lineRule="auto"/>
              <w:contextualSpacing w:val="0"/>
              <w:rPr/>
            </w:pPr>
            <w:r w:rsidDel="00000000" w:rsidR="00000000" w:rsidRPr="00000000">
              <w:rPr>
                <w:rtl w:val="0"/>
              </w:rPr>
              <w:t xml:space="preserve">…………………………………………………….</w:t>
            </w:r>
          </w:p>
          <w:p w:rsidR="00000000" w:rsidDel="00000000" w:rsidP="00000000" w:rsidRDefault="00000000" w:rsidRPr="00000000">
            <w:pPr>
              <w:pBdr/>
              <w:spacing w:after="0" w:before="0" w:line="240" w:lineRule="auto"/>
              <w:contextualSpacing w:val="0"/>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Bdr/>
              <w:spacing w:after="0" w:before="0" w:line="240" w:lineRule="auto"/>
              <w:contextualSpacing w:val="0"/>
              <w:rPr/>
            </w:pPr>
            <w:r w:rsidDel="00000000" w:rsidR="00000000" w:rsidRPr="00000000">
              <w:rPr>
                <w:rtl w:val="0"/>
              </w:rPr>
            </w:r>
          </w:p>
          <w:p w:rsidR="00000000" w:rsidDel="00000000" w:rsidP="00000000" w:rsidRDefault="00000000" w:rsidRPr="00000000">
            <w:pPr>
              <w:pBdr/>
              <w:spacing w:after="0" w:before="0" w:line="240" w:lineRule="auto"/>
              <w:contextualSpacing w:val="0"/>
              <w:rPr/>
            </w:pPr>
            <w:r w:rsidDel="00000000" w:rsidR="00000000" w:rsidRPr="00000000">
              <w:rPr>
                <w:rtl w:val="0"/>
              </w:rPr>
            </w:r>
          </w:p>
          <w:p w:rsidR="00000000" w:rsidDel="00000000" w:rsidP="00000000" w:rsidRDefault="00000000" w:rsidRPr="00000000">
            <w:pPr>
              <w:pBdr/>
              <w:spacing w:after="0" w:before="0" w:line="240" w:lineRule="auto"/>
              <w:contextualSpacing w:val="0"/>
              <w:rPr/>
            </w:pPr>
            <w:r w:rsidDel="00000000" w:rsidR="00000000" w:rsidRPr="00000000">
              <w:rPr>
                <w:rtl w:val="0"/>
              </w:rPr>
            </w:r>
          </w:p>
          <w:p w:rsidR="00000000" w:rsidDel="00000000" w:rsidP="00000000" w:rsidRDefault="00000000" w:rsidRPr="00000000">
            <w:pPr>
              <w:widowControl w:val="0"/>
              <w:pBdr/>
              <w:spacing w:after="0" w:before="0" w:line="240" w:lineRule="auto"/>
              <w:contextualSpacing w:val="0"/>
              <w:rPr/>
            </w:pPr>
            <w:r w:rsidDel="00000000" w:rsidR="00000000" w:rsidRPr="00000000">
              <w:rPr>
                <w:rtl w:val="0"/>
              </w:rPr>
              <w:t xml:space="preserve">…………………………………………………….</w:t>
            </w:r>
          </w:p>
          <w:p w:rsidR="00000000" w:rsidDel="00000000" w:rsidP="00000000" w:rsidRDefault="00000000" w:rsidRPr="00000000">
            <w:pPr>
              <w:pBdr/>
              <w:spacing w:after="0" w:before="0" w:line="240" w:lineRule="auto"/>
              <w:contextualSpacing w:val="0"/>
              <w:rPr/>
            </w:pPr>
            <w:r w:rsidDel="00000000" w:rsidR="00000000" w:rsidRPr="00000000">
              <w:rPr>
                <w:rtl w:val="0"/>
              </w:rPr>
              <w:t xml:space="preserve">Ing. David Mlčák. </w:t>
            </w:r>
          </w:p>
          <w:p w:rsidR="00000000" w:rsidDel="00000000" w:rsidP="00000000" w:rsidRDefault="00000000" w:rsidRPr="00000000">
            <w:pPr>
              <w:pBdr/>
              <w:spacing w:after="0" w:before="0" w:line="240" w:lineRule="auto"/>
              <w:contextualSpacing w:val="0"/>
              <w:rPr/>
            </w:pPr>
            <w:r w:rsidDel="00000000" w:rsidR="00000000" w:rsidRPr="00000000">
              <w:rPr>
                <w:rtl w:val="0"/>
              </w:rPr>
              <w:t xml:space="preserve">místopředseda představenstva</w:t>
            </w:r>
          </w:p>
          <w:p w:rsidR="00000000" w:rsidDel="00000000" w:rsidP="00000000" w:rsidRDefault="00000000" w:rsidRPr="00000000">
            <w:pPr>
              <w:pBdr/>
              <w:spacing w:after="0" w:before="0" w:line="240" w:lineRule="auto"/>
              <w:contextualSpacing w:val="0"/>
              <w:rPr/>
            </w:pPr>
            <w:r w:rsidDel="00000000" w:rsidR="00000000" w:rsidRPr="00000000">
              <w:rPr>
                <w:rtl w:val="0"/>
              </w:rPr>
              <w:t xml:space="preserve">Dopravní podnik Ostrava a.s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r>
          </w:p>
        </w:tc>
      </w:tr>
    </w:tbl>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sectPr>
      <w:headerReference r:id="rId6" w:type="default"/>
      <w:footerReference r:id="rId7" w:type="default"/>
      <w:pgSz w:h="16838" w:w="11906"/>
      <w:pgMar w:bottom="566.9291338582677" w:top="566.9291338582677" w:left="1417.3228346456694" w:right="566.9291338582677"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color w:val="666666"/>
        <w:sz w:val="12"/>
        <w:szCs w:val="12"/>
      </w:rPr>
    </w:pPr>
    <w:r w:rsidDel="00000000" w:rsidR="00000000" w:rsidRPr="00000000">
      <w:rPr>
        <w:rtl w:val="0"/>
      </w:rPr>
    </w:r>
  </w:p>
  <w:tbl>
    <w:tblPr>
      <w:tblStyle w:val="Table3"/>
      <w:bidiVisual w:val="0"/>
      <w:tblW w:w="9921.0" w:type="dxa"/>
      <w:jc w:val="left"/>
      <w:tblLayout w:type="fixed"/>
      <w:tblLook w:val="0600"/>
    </w:tblPr>
    <w:tblGrid>
      <w:gridCol w:w="8220.212598425196"/>
      <w:gridCol w:w="1700.7874015748032"/>
      <w:tblGridChange w:id="0">
        <w:tblGrid>
          <w:gridCol w:w="8220.212598425196"/>
          <w:gridCol w:w="1700.7874015748032"/>
        </w:tblGrid>
      </w:tblGridChange>
    </w:tblGrid>
    <w:tr>
      <w:tc>
        <w:tcPr>
          <w:tcMar>
            <w:left w:w="0.0" w:type="dxa"/>
            <w:right w:w="0.0" w:type="dxa"/>
          </w:tcMar>
        </w:tcPr>
        <w:p w:rsidR="00000000" w:rsidDel="00000000" w:rsidP="00000000" w:rsidRDefault="00000000" w:rsidRPr="00000000">
          <w:pPr>
            <w:widowControl w:val="0"/>
            <w:pBdr/>
            <w:spacing w:after="0" w:before="0" w:line="240" w:lineRule="auto"/>
            <w:contextualSpacing w:val="0"/>
            <w:rPr>
              <w:color w:val="666666"/>
              <w:sz w:val="20"/>
              <w:szCs w:val="20"/>
            </w:rPr>
          </w:pPr>
          <w:r w:rsidDel="00000000" w:rsidR="00000000" w:rsidRPr="00000000">
            <w:rPr>
              <w:color w:val="666666"/>
              <w:sz w:val="20"/>
              <w:szCs w:val="20"/>
              <w:rtl w:val="0"/>
            </w:rPr>
            <w:t xml:space="preserve">Implementace inteligentních dopravních systémů</w:t>
          </w:r>
        </w:p>
        <w:p w:rsidR="00000000" w:rsidDel="00000000" w:rsidP="00000000" w:rsidRDefault="00000000" w:rsidRPr="00000000">
          <w:pPr>
            <w:widowControl w:val="0"/>
            <w:pBdr/>
            <w:spacing w:after="0" w:before="0" w:line="240" w:lineRule="auto"/>
            <w:contextualSpacing w:val="0"/>
            <w:rPr>
              <w:color w:val="666666"/>
              <w:sz w:val="20"/>
              <w:szCs w:val="20"/>
            </w:rPr>
          </w:pPr>
          <w:r w:rsidDel="00000000" w:rsidR="00000000" w:rsidRPr="00000000">
            <w:rPr>
              <w:color w:val="666666"/>
              <w:sz w:val="20"/>
              <w:szCs w:val="20"/>
              <w:rtl w:val="0"/>
            </w:rPr>
            <w:t xml:space="preserve">Dohoda o zachování mlčenlivosti - příloha č.16 ZD / č. 10 SOD</w:t>
          </w:r>
        </w:p>
      </w:tc>
      <w:tc>
        <w:tcPr>
          <w:tcMar>
            <w:left w:w="0.0" w:type="dxa"/>
            <w:right w:w="0.0" w:type="dxa"/>
          </w:tcMar>
        </w:tcPr>
        <w:p w:rsidR="00000000" w:rsidDel="00000000" w:rsidP="00000000" w:rsidRDefault="00000000" w:rsidRPr="00000000">
          <w:pPr>
            <w:pBdr/>
            <w:contextualSpacing w:val="0"/>
            <w:jc w:val="right"/>
            <w:rPr>
              <w:color w:val="666666"/>
              <w:sz w:val="20"/>
              <w:szCs w:val="20"/>
            </w:rPr>
          </w:pPr>
          <w:r w:rsidDel="00000000" w:rsidR="00000000" w:rsidRPr="00000000">
            <w:rPr>
              <w:color w:val="666666"/>
              <w:sz w:val="20"/>
              <w:szCs w:val="20"/>
              <w:rtl w:val="0"/>
            </w:rPr>
            <w:t xml:space="preserve">Strana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color w:val="666666"/>
              <w:sz w:val="20"/>
              <w:szCs w:val="20"/>
              <w:rtl w:val="0"/>
            </w:rPr>
            <w:t xml:space="preserve"> z </w:t>
          </w:r>
          <w:r w:rsidDel="00000000" w:rsidR="00000000" w:rsidRPr="00000000">
            <w:rPr>
              <w:color w:val="666666"/>
              <w:sz w:val="20"/>
              <w:szCs w:val="2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pPr>
      <w:pBdr/>
      <w:contextualSpacing w:val="0"/>
      <w:rPr>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spacing w:after="60" w:before="60" w:lineRule="auto"/>
      <w:ind w:left="720" w:hanging="360"/>
      <w:contextualSpacing w:val="0"/>
      <w:rPr/>
    </w:pPr>
    <w:r w:rsidDel="00000000" w:rsidR="00000000" w:rsidRPr="00000000">
      <w:rPr>
        <w:rtl w:val="0"/>
      </w:rPr>
    </w:r>
  </w:p>
  <w:tbl>
    <w:tblPr>
      <w:tblStyle w:val="Table2"/>
      <w:bidiVisual w:val="0"/>
      <w:tblW w:w="9921.0" w:type="dxa"/>
      <w:jc w:val="right"/>
      <w:tblLayout w:type="fixed"/>
      <w:tblLook w:val="0600"/>
    </w:tblPr>
    <w:tblGrid>
      <w:gridCol w:w="4960.5"/>
      <w:gridCol w:w="4960.5"/>
      <w:tblGridChange w:id="0">
        <w:tblGrid>
          <w:gridCol w:w="4960.5"/>
          <w:gridCol w:w="4960.5"/>
        </w:tblGrid>
      </w:tblGridChange>
    </w:tblGrid>
    <w:tr>
      <w:tc>
        <w:tcPr>
          <w:tcMar>
            <w:left w:w="0.0" w:type="dxa"/>
            <w:right w:w="0.0" w:type="dxa"/>
          </w:tcMar>
          <w:vAlign w:val="center"/>
        </w:tcPr>
        <w:p w:rsidR="00000000" w:rsidDel="00000000" w:rsidP="00000000" w:rsidRDefault="00000000" w:rsidRPr="00000000">
          <w:pPr>
            <w:widowControl w:val="0"/>
            <w:pBdr/>
            <w:spacing w:after="0" w:before="0" w:line="240" w:lineRule="auto"/>
            <w:contextualSpacing w:val="0"/>
            <w:rPr/>
          </w:pPr>
          <w:r w:rsidDel="00000000" w:rsidR="00000000" w:rsidRPr="00000000">
            <w:drawing>
              <wp:inline distB="114300" distT="114300" distL="114300" distR="114300">
                <wp:extent cx="1800225" cy="508000"/>
                <wp:effectExtent b="0" l="0" r="0" t="0"/>
                <wp:docPr id="2"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800225" cy="508000"/>
                        </a:xfrm>
                        <a:prstGeom prst="rect"/>
                        <a:ln/>
                      </pic:spPr>
                    </pic:pic>
                  </a:graphicData>
                </a:graphic>
              </wp:inline>
            </w:drawing>
          </w:r>
          <w:r w:rsidDel="00000000" w:rsidR="00000000" w:rsidRPr="00000000">
            <w:rPr>
              <w:rtl w:val="0"/>
            </w:rPr>
          </w:r>
        </w:p>
      </w:tc>
      <w:tc>
        <w:tcPr>
          <w:tcMar>
            <w:left w:w="0.0" w:type="dxa"/>
            <w:right w:w="0.0" w:type="dxa"/>
          </w:tcMar>
        </w:tcPr>
        <w:p w:rsidR="00000000" w:rsidDel="00000000" w:rsidP="00000000" w:rsidRDefault="00000000" w:rsidRPr="00000000">
          <w:pPr>
            <w:widowControl w:val="0"/>
            <w:pBdr/>
            <w:spacing w:after="0" w:before="0" w:line="240" w:lineRule="auto"/>
            <w:contextualSpacing w:val="0"/>
            <w:jc w:val="right"/>
            <w:rPr>
              <w:sz w:val="44"/>
              <w:szCs w:val="44"/>
            </w:rPr>
          </w:pPr>
          <w:r w:rsidDel="00000000" w:rsidR="00000000" w:rsidRPr="00000000">
            <w:drawing>
              <wp:inline distB="114300" distT="114300" distL="114300" distR="114300">
                <wp:extent cx="1914525" cy="600075"/>
                <wp:effectExtent b="0" l="0" r="0" t="0"/>
                <wp:docPr id="1"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914525" cy="600075"/>
                        </a:xfrm>
                        <a:prstGeom prst="rect"/>
                        <a:ln/>
                      </pic:spPr>
                    </pic:pic>
                  </a:graphicData>
                </a:graphic>
              </wp:inline>
            </w:drawing>
          </w:r>
          <w:r w:rsidDel="00000000" w:rsidR="00000000" w:rsidRPr="00000000">
            <w:rPr>
              <w:rtl w:val="0"/>
            </w:rPr>
          </w:r>
        </w:p>
      </w:tc>
    </w:tr>
  </w:tbl>
  <w:p w:rsidR="00000000" w:rsidDel="00000000" w:rsidP="00000000" w:rsidRDefault="00000000" w:rsidRPr="00000000">
    <w:pPr>
      <w:pBdr/>
      <w:contextualSpacing w:val="0"/>
      <w:rPr>
        <w:sz w:val="12"/>
        <w:szCs w:val="1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upperRoman"/>
      <w:lvlText w:val="%1."/>
      <w:lvlJc w:val="right"/>
      <w:pPr>
        <w:ind w:left="720" w:firstLine="360"/>
      </w:pPr>
      <w:rPr>
        <w:u w:val="none"/>
      </w:rPr>
    </w:lvl>
    <w:lvl w:ilvl="1">
      <w:start w:val="1"/>
      <w:numFmt w:val="decimal"/>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100" w:before="10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line="240" w:lineRule="auto"/>
      <w:contextualSpacing w:val="1"/>
    </w:pPr>
    <w:rPr>
      <w:b w:val="1"/>
      <w:sz w:val="32"/>
      <w:szCs w:val="32"/>
    </w:rPr>
  </w:style>
  <w:style w:type="paragraph" w:styleId="Heading2">
    <w:name w:val="heading 2"/>
    <w:basedOn w:val="Normal"/>
    <w:next w:val="Normal"/>
    <w:pPr>
      <w:keepNext w:val="1"/>
      <w:keepLines w:val="1"/>
      <w:pBdr/>
      <w:spacing w:after="200" w:before="300" w:line="240" w:lineRule="auto"/>
      <w:ind w:left="720" w:hanging="360"/>
      <w:contextualSpacing w:val="1"/>
    </w:pPr>
    <w:rPr>
      <w:b w:val="1"/>
      <w:sz w:val="28"/>
      <w:szCs w:val="28"/>
    </w:rPr>
  </w:style>
  <w:style w:type="paragraph" w:styleId="Heading3">
    <w:name w:val="heading 3"/>
    <w:basedOn w:val="Normal"/>
    <w:next w:val="Normal"/>
    <w:pPr>
      <w:keepNext w:val="1"/>
      <w:keepLines w:val="1"/>
      <w:pBdr/>
      <w:spacing w:after="80" w:before="160" w:line="240" w:lineRule="auto"/>
      <w:contextualSpacing w:val="1"/>
    </w:pPr>
    <w:rPr>
      <w:b w:val="1"/>
      <w:sz w:val="24"/>
      <w:szCs w:val="24"/>
    </w:rPr>
  </w:style>
  <w:style w:type="paragraph" w:styleId="Heading4">
    <w:name w:val="heading 4"/>
    <w:basedOn w:val="Normal"/>
    <w:next w:val="Normal"/>
    <w:pPr>
      <w:keepNext w:val="1"/>
      <w:keepLines w:val="1"/>
      <w:pBdr/>
      <w:spacing w:after="80" w:before="160" w:line="240" w:lineRule="auto"/>
      <w:contextualSpacing w:val="1"/>
    </w:pPr>
    <w:rPr>
      <w:b w:val="1"/>
    </w:rPr>
  </w:style>
  <w:style w:type="paragraph" w:styleId="Heading5">
    <w:name w:val="heading 5"/>
    <w:basedOn w:val="Normal"/>
    <w:next w:val="Normal"/>
    <w:pPr>
      <w:keepNext w:val="1"/>
      <w:keepLines w:val="1"/>
      <w:pBdr/>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Bdr/>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Bdr/>
      <w:spacing w:line="240" w:lineRule="auto"/>
      <w:contextualSpacing w:val="1"/>
      <w:jc w:val="center"/>
    </w:pPr>
    <w:rPr>
      <w:b w:val="1"/>
      <w:sz w:val="44"/>
      <w:szCs w:val="44"/>
    </w:rPr>
  </w:style>
  <w:style w:type="paragraph" w:styleId="Subtitle">
    <w:name w:val="Subtitle"/>
    <w:basedOn w:val="Normal"/>
    <w:next w:val="Normal"/>
    <w:pPr>
      <w:keepNext w:val="1"/>
      <w:keepLines w:val="1"/>
      <w:pBdr/>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mailto:poncza@poncza-sramek.cz" TargetMode="Externa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png"/></Relationships>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cNjapl2WIlXR/bk3FcJETOrUuEQ=</DigestValue>
    </Reference>
    <Reference URI="#idOfficeObject" Type="http://www.w3.org/2000/09/xmldsig#Object">
      <DigestMethod Algorithm="http://www.w3.org/2000/09/xmldsig#sha1"/>
      <DigestValue>4SOqEzDdzGGZpIxH8Alo49YugLw=</DigestValue>
    </Reference>
  </SignedInfo>
  <SignatureValue>
    mBSNWn9N8iqRZv4JtIssPYhB11cFTeZLI4e55BioH4PIhynHSKqgQol+gDlQIaRco7+0/EVN
    BvhJ17UCH8ytA+EnbXTWQElp5JyPbAKmltPo28UQ0Ta2tuE2DrMq+MRqzFLijwQCKHBs8Qkk
    zuSRocWqgRA6/x9NE4/thyKtF7F4Dpim6mEtAgb7hvnIVHxAbrsw4oYtaj0mAhNQYux5Nce1
    L2v8f7CjIkCOj31zLYxYOLSrYwW+PCGQeZd3InHI/4RNidUwvH3raVqcuETD+GuK5BMRes8R
    CZ/VVrPlfEcrGKCRtvesbhDOY2hMKuZQcLrFe9glNtZiNMugxBdfFQ==
  </SignatureValue>
  <KeyInfo>
    <KeyValue>
      <RSAKeyValue>
        <Modulus>
            taBk+jSmqKfvQHgyEm+V+7taC+28jVat1e5wSabSxLNm/emQZVJS2LJd4Ne23dnMLQM+lgeT
            c1K85C0bNyglJlE574FXzp3j6jPfVy7WVvgaxe0vwgzHJ5eauWyCj+PdPB+CdZvsYIuRl8TV
            SPeBDplxlqlaHlCfGx6bkIFzHuQpbuDeem4BfUYWzpg/wzWSP63Q9WNJCE4bi0YSzKyy7QDB
            Ds4agfywAy03yofhjPVUZFc2MPd6Or+Mq7HhTCD3QCwCnVwhBjf+JVNa0gaeUYARssrRAmv4
            d3oG+DVsE7qdqyZ/Otb0RJBMQ6dhfHtgF6JLqU7G8/tHwGNNcGoCiw==
          </Modulus>
        <Exponent>AQAB</Exponent>
      </RSAKeyValue>
    </KeyValue>
    <X509Data>
      <X509Certificate>
          MIIHwjCCBqqgAwIBAgIDIKViMA0GCSqGSIb3DQEBCwUAMF8xCzAJBgNVBAYTAkNaMSwwKgYD
          VQQKDCPEjGVza8OhIHBvxaF0YSwgcy5wLiBbScSMIDQ3MTE0OTgzXTEiMCAGA1UEAxMZUG9z
          dFNpZ251bSBRdWFsaWZpZWQgQ0EgMjAeFw0xNjEyMTYxMzEwMjNaFw0xNzEyMTYxMzEwMjNa
          MIHDMQswCQYDVQQGEwJDWjEXMBUGA1UEYRMOTlRSQ1otNjE5NzQ3NTcxNTAzBgNVBAoMLERv
          cHJhdm7DrSBwb2RuaWsgT3N0cmF2YSBhLnMuIFtJxIwgNjE5NzQ3NTddMQ4wDAYDVQQLEwUx
          MTI1MDEdMBsGA1UEAwwUQmMuIEthcmxhIEhvbHXFoW92w6ExEzARBgNVBAQMCkhvbHXFoW92
          w6ExDjAMBgNVBCoTBUthcmxhMRAwDgYDVQQFEwdQNTc0NzgxMIIBIjANBgkqhkiG9w0BAQEF
          AAOCAQ8AMIIBCgKCAQEAtaBk+jSmqKfvQHgyEm+V+7taC+28jVat1e5wSabSxLNm/emQZVJS
          2LJd4Ne23dnMLQM+lgeTc1K85C0bNyglJlE574FXzp3j6jPfVy7WVvgaxe0vwgzHJ5eauWyC
          j+PdPB+CdZvsYIuRl8TVSPeBDplxlqlaHlCfGx6bkIFzHuQpbuDeem4BfUYWzpg/wzWSP63Q
          9WNJCE4bi0YSzKyy7QDBDs4agfywAy03yofhjPVUZFc2MPd6Or+Mq7HhTCD3QCwCnVwhBjf+
          JVNa0gaeUYARssrRAmv4d3oG+DVsE7qdqyZ/Otb0RJBMQ6dhfHtgF6JLqU7G8/tHwGNNcGoC
          iwIDAQABo4IEIDCCBBwwQQYDVR0RBDowOIEQa2hvbHVzb3ZhQGRwby5jeqAZBgkrBgEEAdwZ
          AgGgDBMKMTU4MDM4MzQwOaAJBgNVBA2gAhMAMAkGA1UdEwQCMAAwggErBgNVHSAEggEiMIIB
          HjCCAQ8GCGeBBgEEARFkMIIBATCB2AYIKwYBBQUHAgIwgcsagchUZW50byBrdmFsaWZpa292
          YW55IGNlcnRpZmlrYXQgcHJvIGVsZWt0cm9uaWNreSBwb2RwaXMgYnlsIHZ5ZGFuIHYgc291
          bGFkdSBzIG5hcml6ZW5pbSBFVSBjLiA5MTAvMjAxNC5UaGlzIGlzIGEgcXVhbGlmaWVkIGNl
          cnRpZmljYXRlIGZvciBlbGVjdHJvbmljIHNpZ25hdHVyZSBhY2NvcmRpbmcgdG8gUmVndWxh
          dGlvbiAoRVUpIE5vIDkxMC8yMDE0LjAkBggrBgEFBQcCARYYaHR0cDovL3d3dy5wb3N0c2ln
          bnVtLmN6MAkGBwQAi+xAAQAwgZsGCCsGAQUFBwEDBIGOMIGLMAgGBgQAjkYBATBqBgYEAI5G
          AQUwYDAuFihodHRwczovL3d3dy5wb3N0c2lnbnVtLmN6L3Bkcy9wZHNfZW4ucGRmEwJlbjAu
          FihodHRwczovL3d3dy5wb3N0c2lnbnVtLmN6L3Bkcy9wZHNfY3MucGRmEwJjczATBgYEAI5G
          AQYwCQYHBACORgEGATCB+gYIKwYBBQUHAQEEge0wgeowOwYIKwYBBQUHMAKGL2h0dHA6Ly93
          d3cucG9zdHNpZ251bS5jei9jcnQvcHNxdWFsaWZpZWRjYTIuY3J0MDwGCCsGAQUFBzAChjBo
          dHRwOi8vd3d3Mi5wb3N0c2lnbnVtLmN6L2NydC9wc3F1YWxpZmllZGNhMi5jcnQwOwYIKwYB
          BQUHMAKGL2h0dHA6Ly9wb3N0c2lnbnVtLnR0Yy5jei9jcnQvcHNxdWFsaWZpZWRjYTIuY3J0
          MDAGCCsGAQUFBzABhiRodHRwOi8vb2NzcC5wb3N0c2lnbnVtLmN6L09DU1AvUUNBMi8wDgYD
          VR0PAQH/BAQDAgXgMB8GA1UdIwQYMBaAFInoTN+LJjk+1yQuEg565+Yn5daXMIGxBgNVHR8E
          gakwgaYwNaAzoDGGL2h0dHA6Ly93d3cucG9zdHNpZ251bS5jei9jcmwvcHNxdWFsaWZpZWRj
          YTIuY3JsMDagNKAyhjBodHRwOi8vd3d3Mi5wb3N0c2lnbnVtLmN6L2NybC9wc3F1YWxpZmll
          ZGNhMi5jcmwwNaAzoDGGL2h0dHA6Ly9wb3N0c2lnbnVtLnR0Yy5jei9jcmwvcHNxdWFsaWZp
          ZWRjYTIuY3JsMB0GA1UdDgQWBBSQgohG43wGMVG6qAnXyz4HDWNbfzANBgkqhkiG9w0BAQsF
          AAOCAQEAcdaRbP7kmn/G2+WXA7nzhQ4IsWGqGJrxVaQXDKUO2UB8twEwj6Os+BTIQ2JDrSaG
          /U/7T+DyBSUsb0p8/qW602NkqLpKJro0c2+MMXIP5ZeAsVd5gmfWJZCg0pVHr749YhwV+Z4d
          Xn51k/S8p+x6+qb6VzdVB8lVpmX7VZ8Jz+xgOtZnNsDVZG6R674IRztr1v8tkRxwUUNYHH6Y
          v2OXgBjWrnM2vh1cfQx8YlruF6gL1745A0hp+O3ZaMYWDv9lxhd9plXPZKq+ZHTviIE2k2BA
          eyfwh9kkrdfm8egtgYgUzyF/69ie88vIwN1/D3z0b50p6xtxkjTsdhbnnGzIDw==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1"/>
            <mdssi:RelationshipReference SourceId="rId6"/>
            <mdssi:RelationshipReference SourceId="rId4"/>
          </Transform>
          <Transform Algorithm="http://www.w3.org/TR/2001/REC-xml-c14n-20010315"/>
        </Transforms>
        <DigestMethod Algorithm="http://www.w3.org/2000/09/xmldsig#sha1"/>
        <DigestValue>7cArvLdyQ/L1hVMGswoXKDGA0hk=</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m8tbTqcKOJdQIWB9+qdSfDh3vlg=</DigestValue>
      </Reference>
      <Reference URI="/word/document.xml?ContentType=application/vnd.openxmlformats-officedocument.wordprocessingml.document.main+xml">
        <DigestMethod Algorithm="http://www.w3.org/2000/09/xmldsig#sha1"/>
        <DigestValue>P+xIQFKhcFQgldw7ee0gqXfeIMY=</DigestValue>
      </Reference>
      <Reference URI="/word/fontTable.xml?ContentType=application/vnd.openxmlformats-officedocument.wordprocessingml.fontTable+xml">
        <DigestMethod Algorithm="http://www.w3.org/2000/09/xmldsig#sha1"/>
        <DigestValue>ZlUUvLDTYdnva1vUJHMk4165dnk=</DigestValue>
      </Reference>
      <Reference URI="/word/footer1.xml?ContentType=application/vnd.openxmlformats-officedocument.wordprocessingml.footer+xml">
        <DigestMethod Algorithm="http://www.w3.org/2000/09/xmldsig#sha1"/>
        <DigestValue>iKdCdjmqGIGGwArIj5MlJKj6cw4=</DigestValue>
      </Reference>
      <Reference URI="/word/header1.xml?ContentType=application/vnd.openxmlformats-officedocument.wordprocessingml.header+xml">
        <DigestMethod Algorithm="http://www.w3.org/2000/09/xmldsig#sha1"/>
        <DigestValue>thI8LP2qgMdLYuH1QkFBg4sbQ7Y=</DigestValue>
      </Reference>
      <Reference URI="/word/media/image3.png?ContentType=image/png">
        <DigestMethod Algorithm="http://www.w3.org/2000/09/xmldsig#sha1"/>
        <DigestValue>isiQRwRz4uNBi+nltdIPGLyU7XI=</DigestValue>
      </Reference>
      <Reference URI="/word/media/image4.png?ContentType=image/png">
        <DigestMethod Algorithm="http://www.w3.org/2000/09/xmldsig#sha1"/>
        <DigestValue>DP18KEdFcbjX/60yoRZ2KVkpO6g=</DigestValue>
      </Reference>
      <Reference URI="/word/numbering.xml?ContentType=application/vnd.openxmlformats-officedocument.wordprocessingml.numbering+xml">
        <DigestMethod Algorithm="http://www.w3.org/2000/09/xmldsig#sha1"/>
        <DigestValue>KQHhzrCC3BpXAnpkqiBxS2nElZg=</DigestValue>
      </Reference>
      <Reference URI="/word/settings.xml?ContentType=application/vnd.openxmlformats-officedocument.wordprocessingml.settings+xml">
        <DigestMethod Algorithm="http://www.w3.org/2000/09/xmldsig#sha1"/>
        <DigestValue>3+EHhPnJcvfuU0yI0O7bofRqXls=</DigestValue>
      </Reference>
      <Reference URI="/word/styles.xml?ContentType=application/vnd.openxmlformats-officedocument.wordprocessingml.styles+xml">
        <DigestMethod Algorithm="http://www.w3.org/2000/09/xmldsig#sha1"/>
        <DigestValue>sfS0nguoKYB/jAjYhfoXhm3JPxE=</DigestValue>
      </Reference>
    </Manifest>
    <SignatureProperties>
      <SignatureProperty Id="idSignatureTime" Target="#idPackageSignature">
        <mdssi:SignatureTime>
          <mdssi:Format>YYYY-MM-DDThh:mm:ssTZD</mdssi:Format>
          <mdssi:Value>2017-07-03T08:52:10Z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