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3F52" w:rsidRDefault="00024C32">
      <w:pPr>
        <w:pStyle w:val="Nadpis1"/>
        <w:spacing w:before="200" w:after="100"/>
        <w:contextualSpacing w:val="0"/>
      </w:pPr>
      <w:bookmarkStart w:id="0" w:name="_g7xvn9aw8gds" w:colFirst="0" w:colLast="0"/>
      <w:bookmarkEnd w:id="0"/>
      <w:r>
        <w:t>Základní požadavky k zajištění BOZP - příloha č. 7 SOD</w:t>
      </w:r>
    </w:p>
    <w:p w:rsidR="00FE3F52" w:rsidRDefault="008D2FB3">
      <w:pPr>
        <w:pStyle w:val="normal"/>
        <w:spacing w:line="240" w:lineRule="auto"/>
        <w:rPr>
          <w:i/>
        </w:rPr>
      </w:pPr>
      <w:r>
        <w:pict>
          <v:rect id="_x0000_i1025" style="width:0;height:1.5pt" o:hralign="center" o:hrstd="t" o:hr="t" fillcolor="#a0a0a0" stroked="f"/>
        </w:pict>
      </w:r>
    </w:p>
    <w:p w:rsidR="00FE3F52" w:rsidRDefault="00024C32">
      <w:pPr>
        <w:pStyle w:val="Nadpis2"/>
        <w:numPr>
          <w:ilvl w:val="0"/>
          <w:numId w:val="1"/>
        </w:numPr>
        <w:ind w:hanging="360"/>
      </w:pPr>
      <w:bookmarkStart w:id="1" w:name="_ezy3ygz9qm3d" w:colFirst="0" w:colLast="0"/>
      <w:bookmarkEnd w:id="1"/>
      <w:r>
        <w:t>Vstup osob do objektů a jejich pohyb na pracovištích Dopravního podniku Ostrava a.s., vjezd vozidel</w:t>
      </w:r>
    </w:p>
    <w:p w:rsidR="00FE3F52" w:rsidRDefault="00024C32" w:rsidP="00226DD4">
      <w:pPr>
        <w:pStyle w:val="normal"/>
        <w:numPr>
          <w:ilvl w:val="1"/>
          <w:numId w:val="1"/>
        </w:numPr>
        <w:ind w:hanging="360"/>
        <w:contextualSpacing/>
        <w:jc w:val="both"/>
      </w:pPr>
      <w:r>
        <w:t xml:space="preserve">Zaměstnanci nebo jiné osoby druhé smluvní strany, kteří budou vykonávat pracovní nebo jinou činnost </w:t>
      </w:r>
      <w:r>
        <w:rPr>
          <w:b/>
        </w:rPr>
        <w:t>dlouhodobě</w:t>
      </w:r>
      <w:r>
        <w:t xml:space="preserve">, mohou vstupovat do objektů a pohybovat se na pracovištích </w:t>
      </w:r>
      <w:r>
        <w:rPr>
          <w:b/>
        </w:rPr>
        <w:t>samostatně</w:t>
      </w:r>
      <w:r>
        <w:t>, avšak musí v souladu s vnitřními předpisy Dopravního podniku Ostrava a.s. (dále jen DP Ostrava):</w:t>
      </w:r>
    </w:p>
    <w:p w:rsidR="00FE3F52" w:rsidRDefault="00024C32" w:rsidP="00226DD4">
      <w:pPr>
        <w:pStyle w:val="normal"/>
        <w:numPr>
          <w:ilvl w:val="2"/>
          <w:numId w:val="1"/>
        </w:numPr>
        <w:ind w:hanging="360"/>
        <w:contextualSpacing/>
        <w:jc w:val="both"/>
      </w:pPr>
      <w:r>
        <w:t>podrobit se školení z BOZP pro příslušné pracoviště, které zajistí vedoucí pracoviště DP Ostrava,</w:t>
      </w:r>
    </w:p>
    <w:p w:rsidR="00FE3F52" w:rsidRDefault="00024C32" w:rsidP="00226DD4">
      <w:pPr>
        <w:pStyle w:val="normal"/>
        <w:numPr>
          <w:ilvl w:val="2"/>
          <w:numId w:val="1"/>
        </w:numPr>
        <w:ind w:hanging="360"/>
        <w:contextualSpacing/>
        <w:jc w:val="both"/>
      </w:pPr>
      <w:r>
        <w:t>předkládat při každém vstupu do objektu dočasný osobní průkaz vydaný DP Ostrava.</w:t>
      </w:r>
    </w:p>
    <w:p w:rsidR="00FE3F52" w:rsidRDefault="00024C32" w:rsidP="00226DD4">
      <w:pPr>
        <w:pStyle w:val="normal"/>
        <w:numPr>
          <w:ilvl w:val="1"/>
          <w:numId w:val="1"/>
        </w:numPr>
        <w:ind w:hanging="360"/>
        <w:contextualSpacing/>
        <w:jc w:val="both"/>
      </w:pPr>
      <w:r>
        <w:t xml:space="preserve">Zaměstnanci nebo jiné osoby druhé smluvní strany, kteří budou vykonávat pracovní nebo jinou činnost </w:t>
      </w:r>
      <w:r>
        <w:rPr>
          <w:b/>
        </w:rPr>
        <w:t>krátkodobě</w:t>
      </w:r>
      <w:r>
        <w:t xml:space="preserve">, mohou vstupovat do objektů a pohybovat se na pracovištích </w:t>
      </w:r>
      <w:r>
        <w:rPr>
          <w:b/>
        </w:rPr>
        <w:t>samostatně</w:t>
      </w:r>
      <w:r>
        <w:t>, avšak musí v souladu s vnitřními předpisy DP Ostrava:</w:t>
      </w:r>
    </w:p>
    <w:p w:rsidR="00FE3F52" w:rsidRDefault="00024C32" w:rsidP="00226DD4">
      <w:pPr>
        <w:pStyle w:val="normal"/>
        <w:numPr>
          <w:ilvl w:val="2"/>
          <w:numId w:val="1"/>
        </w:numPr>
        <w:ind w:hanging="360"/>
        <w:contextualSpacing/>
        <w:jc w:val="both"/>
      </w:pPr>
      <w:r>
        <w:t>podrobit se školení z BOZP pro příslušné pracoviště, které zajistí vedoucí pracoviště DP Ostrava</w:t>
      </w:r>
    </w:p>
    <w:p w:rsidR="00FE3F52" w:rsidRDefault="00024C32" w:rsidP="00226DD4">
      <w:pPr>
        <w:pStyle w:val="normal"/>
        <w:numPr>
          <w:ilvl w:val="2"/>
          <w:numId w:val="1"/>
        </w:numPr>
        <w:ind w:hanging="360"/>
        <w:contextualSpacing/>
        <w:jc w:val="both"/>
      </w:pPr>
      <w: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FE3F52" w:rsidRDefault="00024C32" w:rsidP="00226DD4">
      <w:pPr>
        <w:pStyle w:val="normal"/>
        <w:numPr>
          <w:ilvl w:val="1"/>
          <w:numId w:val="1"/>
        </w:numPr>
        <w:ind w:hanging="360"/>
        <w:contextualSpacing/>
        <w:jc w:val="both"/>
      </w:pPr>
      <w:r>
        <w:t xml:space="preserve">Zaměstnanci nebo jiné osoby druhé smluvní strany, kteří </w:t>
      </w:r>
      <w:r>
        <w:rPr>
          <w:b/>
        </w:rPr>
        <w:t xml:space="preserve">navštíví </w:t>
      </w:r>
      <w:r>
        <w:t xml:space="preserve">pracoviště </w:t>
      </w:r>
      <w:r>
        <w:rPr>
          <w:b/>
        </w:rPr>
        <w:t>jednorázově</w:t>
      </w:r>
      <w:r>
        <w:t xml:space="preserve">, mohou v souladu s vnitřními předpisy DP Ostrava vstupovat do objektu a pohybovat se na pracovištích </w:t>
      </w:r>
      <w:r>
        <w:rPr>
          <w:b/>
        </w:rPr>
        <w:t>pouze v doprovodu</w:t>
      </w:r>
      <w:r>
        <w:t xml:space="preserve"> určeného zaměstnance DP Ostrava, avšak musí:</w:t>
      </w:r>
    </w:p>
    <w:p w:rsidR="00FE3F52" w:rsidRDefault="00024C32" w:rsidP="00226DD4">
      <w:pPr>
        <w:pStyle w:val="normal"/>
        <w:numPr>
          <w:ilvl w:val="2"/>
          <w:numId w:val="1"/>
        </w:numPr>
        <w:ind w:hanging="360"/>
        <w:contextualSpacing/>
        <w:jc w:val="both"/>
      </w:pPr>
      <w:r>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FE3F52" w:rsidRDefault="00024C32" w:rsidP="00226DD4">
      <w:pPr>
        <w:pStyle w:val="normal"/>
        <w:numPr>
          <w:ilvl w:val="1"/>
          <w:numId w:val="1"/>
        </w:numPr>
        <w:ind w:hanging="360"/>
        <w:contextualSpacing/>
        <w:jc w:val="both"/>
      </w:pPr>
      <w: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rsidR="00FE3F52" w:rsidRDefault="00024C32" w:rsidP="00226DD4">
      <w:pPr>
        <w:pStyle w:val="normal"/>
        <w:numPr>
          <w:ilvl w:val="1"/>
          <w:numId w:val="1"/>
        </w:numPr>
        <w:ind w:hanging="360"/>
        <w:contextualSpacing/>
        <w:jc w:val="both"/>
      </w:pPr>
      <w:r>
        <w:t xml:space="preserve">Fyzická ostraha je oprávněna provést kontrolu dopravního prostředku při vjezdu do areálu DP Ostrava i při výjezdu z areálu DP Ostrava. </w:t>
      </w:r>
    </w:p>
    <w:p w:rsidR="00FE3F52" w:rsidRDefault="00024C32" w:rsidP="00226DD4">
      <w:pPr>
        <w:pStyle w:val="normal"/>
        <w:numPr>
          <w:ilvl w:val="1"/>
          <w:numId w:val="1"/>
        </w:numPr>
        <w:ind w:hanging="360"/>
        <w:contextualSpacing/>
        <w:jc w:val="both"/>
      </w:pPr>
      <w:r>
        <w:t>Mimo provozní dobu v pracovních dnech od 6.00 do 22.00 hodin mohou osoby a vozidla druhé smluvní strany výjimečně vjíždět a pohybovat se v areálu  DPO pouze jako „návštěva“.</w:t>
      </w:r>
    </w:p>
    <w:p w:rsidR="00FE3F52" w:rsidRDefault="00024C32" w:rsidP="00226DD4">
      <w:pPr>
        <w:pStyle w:val="normal"/>
        <w:numPr>
          <w:ilvl w:val="1"/>
          <w:numId w:val="1"/>
        </w:numPr>
        <w:ind w:hanging="360"/>
        <w:contextualSpacing/>
        <w:jc w:val="both"/>
      </w:pPr>
      <w:r>
        <w:t xml:space="preserve">Návštěvě bude vjezd a pohyb v dopravním prostředku v areálu DP Ostrava povolen na základě ověření přítomnosti vedoucího navštěvovaného pracoviště a jeho souhlasu s návštěvou. </w:t>
      </w:r>
    </w:p>
    <w:p w:rsidR="00FE3F52" w:rsidRDefault="00024C32" w:rsidP="00226DD4">
      <w:pPr>
        <w:pStyle w:val="normal"/>
        <w:numPr>
          <w:ilvl w:val="1"/>
          <w:numId w:val="1"/>
        </w:numPr>
        <w:ind w:hanging="360"/>
        <w:contextualSpacing/>
        <w:jc w:val="both"/>
      </w:pPr>
      <w:r>
        <w:lastRenderedPageBreak/>
        <w:t>V případě udělení souhlasu s návštěvou fyzická ostraha seznámí návštěvu s aktuální dopravní situací v areálu DP Ostrava, zejména s určením trasy a místem k odstavení dopravního prostředku, a poté vpustí návštěvu do areálu DP Ostrava.</w:t>
      </w:r>
    </w:p>
    <w:p w:rsidR="00FE3F52" w:rsidRDefault="00024C32" w:rsidP="00226DD4">
      <w:pPr>
        <w:pStyle w:val="Nadpis2"/>
        <w:numPr>
          <w:ilvl w:val="0"/>
          <w:numId w:val="1"/>
        </w:numPr>
        <w:ind w:hanging="360"/>
        <w:jc w:val="both"/>
      </w:pPr>
      <w:bookmarkStart w:id="2" w:name="_k3y87c8nz7py" w:colFirst="0" w:colLast="0"/>
      <w:bookmarkEnd w:id="2"/>
      <w:r>
        <w:t>Podmínky pro vykonávání pracovní a jiné činnosti na pracovištích DP Ostrava</w:t>
      </w:r>
    </w:p>
    <w:p w:rsidR="00FE3F52" w:rsidRDefault="00024C32" w:rsidP="00226DD4">
      <w:pPr>
        <w:pStyle w:val="normal"/>
        <w:numPr>
          <w:ilvl w:val="1"/>
          <w:numId w:val="1"/>
        </w:numPr>
        <w:ind w:hanging="360"/>
        <w:contextualSpacing/>
        <w:jc w:val="both"/>
      </w:pPr>
      <w:r>
        <w:t>předávané plnění/dílo (projekty, konstrukce, výrobky, zařízení apod.) musí být provedeno tak, aby splňovalo platné bezpečnostní a požární předpisy,</w:t>
      </w:r>
    </w:p>
    <w:p w:rsidR="00FE3F52" w:rsidRDefault="00024C32" w:rsidP="00226DD4">
      <w:pPr>
        <w:pStyle w:val="normal"/>
        <w:numPr>
          <w:ilvl w:val="1"/>
          <w:numId w:val="1"/>
        </w:numPr>
        <w:ind w:hanging="360"/>
        <w:contextualSpacing/>
        <w:jc w:val="both"/>
      </w:pPr>
      <w:r>
        <w:t xml:space="preserve">pokud budou na jednom pracovišti plnit pracovní úkoly zaměstnanci druhé smluvní strany i DP Ostrava, jsou zaměstnavatelé povinni vzájemně se písemně informovat o rizicích a spolupracovat při zajišťování bezpečnosti a ochrany zdraví při práci, podle ustanovení § 101 zákona č. 262/2006 Sb. (zákoník práce),  </w:t>
      </w:r>
    </w:p>
    <w:p w:rsidR="00FE3F52" w:rsidRDefault="00024C32" w:rsidP="00226DD4">
      <w:pPr>
        <w:pStyle w:val="normal"/>
        <w:numPr>
          <w:ilvl w:val="1"/>
          <w:numId w:val="1"/>
        </w:numPr>
        <w:ind w:hanging="360"/>
        <w:contextualSpacing/>
        <w:jc w:val="both"/>
      </w:pPr>
      <w:r>
        <w:t>zaměstnanci nebo jiné osoby druhé smluvní strany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rsidR="00FE3F52" w:rsidRDefault="00024C32" w:rsidP="00226DD4">
      <w:pPr>
        <w:pStyle w:val="normal"/>
        <w:numPr>
          <w:ilvl w:val="1"/>
          <w:numId w:val="1"/>
        </w:numPr>
        <w:ind w:hanging="360"/>
        <w:contextualSpacing/>
        <w:jc w:val="both"/>
      </w:pPr>
      <w:r>
        <w:t>zaměstnanci nebo jiné osoby druhé smluvní strany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druhé smluvní strany povinni při kontrolách a činnostech souvisejících se zajištěním BOZP spolupracovat s oprávněnými zaměstnanci DP Ostrava a řídit se jejich pokyny,</w:t>
      </w:r>
    </w:p>
    <w:p w:rsidR="00FE3F52" w:rsidRDefault="00024C32" w:rsidP="00226DD4">
      <w:pPr>
        <w:pStyle w:val="normal"/>
        <w:numPr>
          <w:ilvl w:val="1"/>
          <w:numId w:val="1"/>
        </w:numPr>
        <w:ind w:hanging="360"/>
        <w:contextualSpacing/>
        <w:jc w:val="both"/>
      </w:pPr>
      <w:r>
        <w:t>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druhé smluvní strany povinni na vyzvání ukončit pracovní nebo jinou činnost a ihned opustit pracoviště a objekty DP Ostrava. Druhá smluvní strana je povinna osobu vyloučenou z pracoviště DP Ostrava ihned nahradit jiným pracovníkem tak, aby plnění smlouvy mohlo řádně pokračovat. DP Ostrava v tomto případě neodpovídá za případné prodlení v plnění závazků druhé smluvní strany dle uzavřené smlouvy,</w:t>
      </w:r>
    </w:p>
    <w:p w:rsidR="00FE3F52" w:rsidRDefault="00024C32" w:rsidP="00226DD4">
      <w:pPr>
        <w:pStyle w:val="normal"/>
        <w:numPr>
          <w:ilvl w:val="1"/>
          <w:numId w:val="1"/>
        </w:numPr>
        <w:ind w:hanging="360"/>
        <w:contextualSpacing/>
        <w:jc w:val="both"/>
      </w:pPr>
      <w:r>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rsidR="00226DD4" w:rsidRDefault="00226DD4" w:rsidP="00226DD4">
      <w:pPr>
        <w:pStyle w:val="normal"/>
        <w:ind w:left="1440" w:firstLine="0"/>
        <w:contextualSpacing/>
        <w:jc w:val="both"/>
      </w:pPr>
    </w:p>
    <w:tbl>
      <w:tblPr>
        <w:tblStyle w:val="a"/>
        <w:tblW w:w="9201" w:type="dxa"/>
        <w:tblInd w:w="720" w:type="dxa"/>
        <w:tblLayout w:type="fixed"/>
        <w:tblLook w:val="0600"/>
      </w:tblPr>
      <w:tblGrid>
        <w:gridCol w:w="4318"/>
        <w:gridCol w:w="566"/>
        <w:gridCol w:w="4317"/>
      </w:tblGrid>
      <w:tr w:rsidR="00FE3F52" w:rsidTr="00024C32">
        <w:tc>
          <w:tcPr>
            <w:tcW w:w="4318" w:type="dxa"/>
            <w:tcMar>
              <w:top w:w="100" w:type="dxa"/>
              <w:left w:w="100" w:type="dxa"/>
              <w:bottom w:w="100" w:type="dxa"/>
              <w:right w:w="100" w:type="dxa"/>
            </w:tcMar>
          </w:tcPr>
          <w:p w:rsidR="00FE3F52" w:rsidRDefault="00024C32" w:rsidP="00226DD4">
            <w:pPr>
              <w:pStyle w:val="normal"/>
              <w:widowControl w:val="0"/>
              <w:spacing w:before="0" w:after="0" w:line="240" w:lineRule="auto"/>
              <w:ind w:left="0" w:firstLine="0"/>
              <w:jc w:val="both"/>
            </w:pPr>
            <w:r>
              <w:t xml:space="preserve"> Za Dopravní podnik Ostrava a.s.</w:t>
            </w:r>
          </w:p>
        </w:tc>
        <w:tc>
          <w:tcPr>
            <w:tcW w:w="566" w:type="dxa"/>
            <w:tcMar>
              <w:top w:w="100" w:type="dxa"/>
              <w:left w:w="100" w:type="dxa"/>
              <w:bottom w:w="100" w:type="dxa"/>
              <w:right w:w="100" w:type="dxa"/>
            </w:tcMar>
          </w:tcPr>
          <w:p w:rsidR="00FE3F52" w:rsidRDefault="00FE3F52" w:rsidP="00226DD4">
            <w:pPr>
              <w:pStyle w:val="normal"/>
              <w:widowControl w:val="0"/>
              <w:spacing w:before="0" w:after="0" w:line="240" w:lineRule="auto"/>
              <w:ind w:left="0" w:firstLine="0"/>
              <w:jc w:val="both"/>
            </w:pPr>
          </w:p>
        </w:tc>
        <w:tc>
          <w:tcPr>
            <w:tcW w:w="4317" w:type="dxa"/>
            <w:tcMar>
              <w:top w:w="100" w:type="dxa"/>
              <w:left w:w="100" w:type="dxa"/>
              <w:bottom w:w="100" w:type="dxa"/>
              <w:right w:w="100" w:type="dxa"/>
            </w:tcMar>
          </w:tcPr>
          <w:p w:rsidR="00FE3F52" w:rsidRDefault="00024C32" w:rsidP="00226DD4">
            <w:pPr>
              <w:pStyle w:val="normal"/>
              <w:widowControl w:val="0"/>
              <w:spacing w:before="0" w:after="0" w:line="240" w:lineRule="auto"/>
              <w:ind w:left="0" w:firstLine="0"/>
              <w:jc w:val="both"/>
            </w:pPr>
            <w:r>
              <w:t>Za ……………………………………</w:t>
            </w:r>
            <w:proofErr w:type="gramStart"/>
            <w:r>
              <w:t>…..</w:t>
            </w:r>
            <w:proofErr w:type="gramEnd"/>
          </w:p>
        </w:tc>
      </w:tr>
      <w:tr w:rsidR="00FE3F52" w:rsidTr="00024C32">
        <w:tc>
          <w:tcPr>
            <w:tcW w:w="4318" w:type="dxa"/>
            <w:tcMar>
              <w:top w:w="100" w:type="dxa"/>
              <w:left w:w="100" w:type="dxa"/>
              <w:bottom w:w="100" w:type="dxa"/>
              <w:right w:w="100" w:type="dxa"/>
            </w:tcMar>
          </w:tcPr>
          <w:p w:rsidR="00FE3F52" w:rsidRDefault="00024C32" w:rsidP="00226DD4">
            <w:pPr>
              <w:pStyle w:val="normal"/>
              <w:widowControl w:val="0"/>
              <w:spacing w:before="0" w:after="0" w:line="240" w:lineRule="auto"/>
              <w:ind w:left="0" w:firstLine="0"/>
              <w:jc w:val="both"/>
            </w:pPr>
            <w:r>
              <w:t>V Ostravě dne ……</w:t>
            </w:r>
            <w:proofErr w:type="gramStart"/>
            <w:r>
              <w:t>…..…</w:t>
            </w:r>
            <w:proofErr w:type="gramEnd"/>
            <w:r>
              <w:t>…</w:t>
            </w:r>
          </w:p>
        </w:tc>
        <w:tc>
          <w:tcPr>
            <w:tcW w:w="566" w:type="dxa"/>
            <w:tcMar>
              <w:top w:w="100" w:type="dxa"/>
              <w:left w:w="100" w:type="dxa"/>
              <w:bottom w:w="100" w:type="dxa"/>
              <w:right w:w="100" w:type="dxa"/>
            </w:tcMar>
          </w:tcPr>
          <w:p w:rsidR="00FE3F52" w:rsidRDefault="00FE3F52" w:rsidP="00226DD4">
            <w:pPr>
              <w:pStyle w:val="normal"/>
              <w:widowControl w:val="0"/>
              <w:spacing w:before="0" w:after="0" w:line="240" w:lineRule="auto"/>
              <w:ind w:left="0" w:firstLine="0"/>
              <w:jc w:val="both"/>
            </w:pPr>
          </w:p>
        </w:tc>
        <w:tc>
          <w:tcPr>
            <w:tcW w:w="4317" w:type="dxa"/>
            <w:tcMar>
              <w:top w:w="100" w:type="dxa"/>
              <w:left w:w="100" w:type="dxa"/>
              <w:bottom w:w="100" w:type="dxa"/>
              <w:right w:w="100" w:type="dxa"/>
            </w:tcMar>
          </w:tcPr>
          <w:p w:rsidR="00FE3F52" w:rsidRDefault="00024C32" w:rsidP="00226DD4">
            <w:pPr>
              <w:pStyle w:val="normal"/>
              <w:widowControl w:val="0"/>
              <w:spacing w:before="0" w:after="0" w:line="240" w:lineRule="auto"/>
              <w:ind w:left="0" w:firstLine="0"/>
              <w:jc w:val="both"/>
            </w:pPr>
            <w:r>
              <w:t>V ……………….…… dne ……</w:t>
            </w:r>
            <w:proofErr w:type="gramStart"/>
            <w:r>
              <w:t>…..…</w:t>
            </w:r>
            <w:proofErr w:type="gramEnd"/>
            <w:r>
              <w:t xml:space="preserve">… </w:t>
            </w:r>
          </w:p>
        </w:tc>
      </w:tr>
      <w:tr w:rsidR="00FE3F52" w:rsidTr="00024C32">
        <w:tc>
          <w:tcPr>
            <w:tcW w:w="4318" w:type="dxa"/>
            <w:tcMar>
              <w:top w:w="100" w:type="dxa"/>
              <w:left w:w="100" w:type="dxa"/>
              <w:bottom w:w="100" w:type="dxa"/>
              <w:right w:w="100" w:type="dxa"/>
            </w:tcMar>
          </w:tcPr>
          <w:p w:rsidR="00FE3F52" w:rsidRDefault="00FE3F52" w:rsidP="00226DD4">
            <w:pPr>
              <w:pStyle w:val="normal"/>
              <w:widowControl w:val="0"/>
              <w:spacing w:before="0" w:after="0" w:line="240" w:lineRule="auto"/>
              <w:ind w:left="0" w:firstLine="0"/>
              <w:jc w:val="both"/>
              <w:rPr>
                <w:sz w:val="12"/>
                <w:szCs w:val="12"/>
              </w:rPr>
            </w:pPr>
          </w:p>
          <w:p w:rsidR="00FE3F52" w:rsidRDefault="00024C32" w:rsidP="00226DD4">
            <w:pPr>
              <w:pStyle w:val="normal"/>
              <w:widowControl w:val="0"/>
              <w:spacing w:before="0" w:after="0" w:line="240" w:lineRule="auto"/>
              <w:ind w:left="0" w:firstLine="0"/>
              <w:jc w:val="both"/>
            </w:pPr>
            <w:r>
              <w:t>……………………………………...</w:t>
            </w:r>
          </w:p>
        </w:tc>
        <w:tc>
          <w:tcPr>
            <w:tcW w:w="566" w:type="dxa"/>
            <w:tcMar>
              <w:top w:w="100" w:type="dxa"/>
              <w:left w:w="100" w:type="dxa"/>
              <w:bottom w:w="100" w:type="dxa"/>
              <w:right w:w="100" w:type="dxa"/>
            </w:tcMar>
          </w:tcPr>
          <w:p w:rsidR="00FE3F52" w:rsidRDefault="00FE3F52" w:rsidP="00226DD4">
            <w:pPr>
              <w:pStyle w:val="normal"/>
              <w:widowControl w:val="0"/>
              <w:spacing w:before="0" w:after="0" w:line="240" w:lineRule="auto"/>
              <w:ind w:left="0" w:firstLine="0"/>
              <w:jc w:val="both"/>
            </w:pPr>
          </w:p>
        </w:tc>
        <w:tc>
          <w:tcPr>
            <w:tcW w:w="4317" w:type="dxa"/>
            <w:tcMar>
              <w:top w:w="100" w:type="dxa"/>
              <w:left w:w="100" w:type="dxa"/>
              <w:bottom w:w="100" w:type="dxa"/>
              <w:right w:w="100" w:type="dxa"/>
            </w:tcMar>
          </w:tcPr>
          <w:p w:rsidR="00FE3F52" w:rsidRDefault="00FE3F52" w:rsidP="00226DD4">
            <w:pPr>
              <w:pStyle w:val="normal"/>
              <w:widowControl w:val="0"/>
              <w:spacing w:before="0" w:after="0" w:line="240" w:lineRule="auto"/>
              <w:ind w:left="0" w:firstLine="0"/>
              <w:jc w:val="both"/>
              <w:rPr>
                <w:sz w:val="12"/>
                <w:szCs w:val="12"/>
              </w:rPr>
            </w:pPr>
          </w:p>
          <w:p w:rsidR="00FE3F52" w:rsidRDefault="00024C32" w:rsidP="00226DD4">
            <w:pPr>
              <w:pStyle w:val="normal"/>
              <w:widowControl w:val="0"/>
              <w:spacing w:before="0" w:after="0" w:line="240" w:lineRule="auto"/>
              <w:ind w:left="0" w:firstLine="0"/>
              <w:jc w:val="both"/>
            </w:pPr>
            <w:r>
              <w:t>………………………………………...</w:t>
            </w:r>
          </w:p>
        </w:tc>
      </w:tr>
    </w:tbl>
    <w:p w:rsidR="00FE3F52" w:rsidRDefault="00FE3F52" w:rsidP="00226DD4">
      <w:pPr>
        <w:pStyle w:val="normal"/>
        <w:ind w:left="0" w:firstLine="0"/>
        <w:jc w:val="both"/>
        <w:rPr>
          <w:sz w:val="12"/>
          <w:szCs w:val="12"/>
        </w:rPr>
      </w:pPr>
    </w:p>
    <w:sectPr w:rsidR="00FE3F52" w:rsidSect="00FE3F52">
      <w:headerReference w:type="default" r:id="rId7"/>
      <w:footerReference w:type="default" r:id="rId8"/>
      <w:pgSz w:w="11906" w:h="16838"/>
      <w:pgMar w:top="566" w:right="566" w:bottom="566" w:left="1417" w:header="0"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F52" w:rsidRDefault="00FE3F52" w:rsidP="00FE3F52">
      <w:pPr>
        <w:spacing w:before="0" w:after="0" w:line="240" w:lineRule="auto"/>
      </w:pPr>
      <w:r>
        <w:separator/>
      </w:r>
    </w:p>
  </w:endnote>
  <w:endnote w:type="continuationSeparator" w:id="0">
    <w:p w:rsidR="00FE3F52" w:rsidRDefault="00FE3F52" w:rsidP="00FE3F52">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F52" w:rsidRDefault="00FE3F52">
    <w:pPr>
      <w:pStyle w:val="normal"/>
      <w:rPr>
        <w:color w:val="666666"/>
        <w:sz w:val="12"/>
        <w:szCs w:val="12"/>
      </w:rPr>
    </w:pPr>
  </w:p>
  <w:tbl>
    <w:tblPr>
      <w:tblStyle w:val="a1"/>
      <w:tblW w:w="9921" w:type="dxa"/>
      <w:tblInd w:w="0" w:type="dxa"/>
      <w:tblLayout w:type="fixed"/>
      <w:tblLook w:val="0600"/>
    </w:tblPr>
    <w:tblGrid>
      <w:gridCol w:w="8221"/>
      <w:gridCol w:w="1700"/>
    </w:tblGrid>
    <w:tr w:rsidR="00FE3F52">
      <w:tc>
        <w:tcPr>
          <w:tcW w:w="8220" w:type="dxa"/>
          <w:tcMar>
            <w:left w:w="0" w:type="dxa"/>
            <w:right w:w="0" w:type="dxa"/>
          </w:tcMar>
        </w:tcPr>
        <w:p w:rsidR="00FE3F52" w:rsidRDefault="00024C32">
          <w:pPr>
            <w:pStyle w:val="normal"/>
            <w:widowControl w:val="0"/>
            <w:spacing w:before="0" w:after="0" w:line="240" w:lineRule="auto"/>
            <w:rPr>
              <w:color w:val="666666"/>
              <w:sz w:val="20"/>
              <w:szCs w:val="20"/>
            </w:rPr>
          </w:pPr>
          <w:r>
            <w:rPr>
              <w:color w:val="666666"/>
              <w:sz w:val="20"/>
              <w:szCs w:val="20"/>
            </w:rPr>
            <w:t xml:space="preserve">Implementace </w:t>
          </w:r>
          <w:r w:rsidR="00F35DFB">
            <w:rPr>
              <w:color w:val="666666"/>
              <w:sz w:val="20"/>
              <w:szCs w:val="20"/>
            </w:rPr>
            <w:t>komunikační a dopravní platformy</w:t>
          </w:r>
        </w:p>
        <w:p w:rsidR="00FE3F52" w:rsidRDefault="00024C32">
          <w:pPr>
            <w:pStyle w:val="normal"/>
            <w:widowControl w:val="0"/>
            <w:spacing w:after="0" w:line="240" w:lineRule="auto"/>
            <w:rPr>
              <w:color w:val="666666"/>
              <w:sz w:val="20"/>
              <w:szCs w:val="20"/>
            </w:rPr>
          </w:pPr>
          <w:r>
            <w:rPr>
              <w:color w:val="666666"/>
              <w:sz w:val="20"/>
              <w:szCs w:val="20"/>
            </w:rPr>
            <w:t>Základní požadavky BOZP - příloha č. 10 ZD / č. 7 SOD</w:t>
          </w:r>
        </w:p>
      </w:tc>
      <w:tc>
        <w:tcPr>
          <w:tcW w:w="1700" w:type="dxa"/>
          <w:tcMar>
            <w:left w:w="0" w:type="dxa"/>
            <w:right w:w="0" w:type="dxa"/>
          </w:tcMar>
        </w:tcPr>
        <w:p w:rsidR="00FE3F52" w:rsidRDefault="00024C32">
          <w:pPr>
            <w:pStyle w:val="normal"/>
            <w:jc w:val="right"/>
            <w:rPr>
              <w:color w:val="666666"/>
              <w:sz w:val="20"/>
              <w:szCs w:val="20"/>
            </w:rPr>
          </w:pPr>
          <w:r>
            <w:rPr>
              <w:color w:val="666666"/>
              <w:sz w:val="20"/>
              <w:szCs w:val="20"/>
            </w:rPr>
            <w:t xml:space="preserve">Strana </w:t>
          </w:r>
          <w:r w:rsidR="008D2FB3">
            <w:rPr>
              <w:color w:val="666666"/>
              <w:sz w:val="20"/>
              <w:szCs w:val="20"/>
            </w:rPr>
            <w:fldChar w:fldCharType="begin"/>
          </w:r>
          <w:r>
            <w:rPr>
              <w:color w:val="666666"/>
              <w:sz w:val="20"/>
              <w:szCs w:val="20"/>
            </w:rPr>
            <w:instrText>PAGE</w:instrText>
          </w:r>
          <w:r w:rsidR="008D2FB3">
            <w:rPr>
              <w:color w:val="666666"/>
              <w:sz w:val="20"/>
              <w:szCs w:val="20"/>
            </w:rPr>
            <w:fldChar w:fldCharType="separate"/>
          </w:r>
          <w:r w:rsidR="00F35DFB">
            <w:rPr>
              <w:noProof/>
              <w:color w:val="666666"/>
              <w:sz w:val="20"/>
              <w:szCs w:val="20"/>
            </w:rPr>
            <w:t>1</w:t>
          </w:r>
          <w:r w:rsidR="008D2FB3">
            <w:rPr>
              <w:color w:val="666666"/>
              <w:sz w:val="20"/>
              <w:szCs w:val="20"/>
            </w:rPr>
            <w:fldChar w:fldCharType="end"/>
          </w:r>
          <w:r>
            <w:rPr>
              <w:color w:val="666666"/>
              <w:sz w:val="20"/>
              <w:szCs w:val="20"/>
            </w:rPr>
            <w:t xml:space="preserve"> z </w:t>
          </w:r>
          <w:r w:rsidR="008D2FB3">
            <w:rPr>
              <w:color w:val="666666"/>
              <w:sz w:val="20"/>
              <w:szCs w:val="20"/>
            </w:rPr>
            <w:fldChar w:fldCharType="begin"/>
          </w:r>
          <w:r>
            <w:rPr>
              <w:color w:val="666666"/>
              <w:sz w:val="20"/>
              <w:szCs w:val="20"/>
            </w:rPr>
            <w:instrText>NUMPAGES</w:instrText>
          </w:r>
          <w:r w:rsidR="008D2FB3">
            <w:rPr>
              <w:color w:val="666666"/>
              <w:sz w:val="20"/>
              <w:szCs w:val="20"/>
            </w:rPr>
            <w:fldChar w:fldCharType="separate"/>
          </w:r>
          <w:r w:rsidR="00F35DFB">
            <w:rPr>
              <w:noProof/>
              <w:color w:val="666666"/>
              <w:sz w:val="20"/>
              <w:szCs w:val="20"/>
            </w:rPr>
            <w:t>3</w:t>
          </w:r>
          <w:r w:rsidR="008D2FB3">
            <w:rPr>
              <w:color w:val="666666"/>
              <w:sz w:val="20"/>
              <w:szCs w:val="20"/>
            </w:rPr>
            <w:fldChar w:fldCharType="end"/>
          </w:r>
        </w:p>
      </w:tc>
    </w:tr>
  </w:tbl>
  <w:p w:rsidR="00FE3F52" w:rsidRDefault="00FE3F52">
    <w:pPr>
      <w:pStyle w:val="normal"/>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F52" w:rsidRDefault="00FE3F52" w:rsidP="00FE3F52">
      <w:pPr>
        <w:spacing w:before="0" w:after="0" w:line="240" w:lineRule="auto"/>
      </w:pPr>
      <w:r>
        <w:separator/>
      </w:r>
    </w:p>
  </w:footnote>
  <w:footnote w:type="continuationSeparator" w:id="0">
    <w:p w:rsidR="00FE3F52" w:rsidRDefault="00FE3F52" w:rsidP="00FE3F52">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F52" w:rsidRDefault="00FE3F52">
    <w:pPr>
      <w:pStyle w:val="normal"/>
    </w:pPr>
  </w:p>
  <w:tbl>
    <w:tblPr>
      <w:tblStyle w:val="a0"/>
      <w:tblW w:w="9921" w:type="dxa"/>
      <w:jc w:val="right"/>
      <w:tblInd w:w="0" w:type="dxa"/>
      <w:tblLayout w:type="fixed"/>
      <w:tblLook w:val="0600"/>
    </w:tblPr>
    <w:tblGrid>
      <w:gridCol w:w="4960"/>
      <w:gridCol w:w="4961"/>
    </w:tblGrid>
    <w:tr w:rsidR="00FE3F52">
      <w:trPr>
        <w:jc w:val="right"/>
      </w:trPr>
      <w:tc>
        <w:tcPr>
          <w:tcW w:w="4960" w:type="dxa"/>
          <w:tcMar>
            <w:left w:w="0" w:type="dxa"/>
            <w:right w:w="0" w:type="dxa"/>
          </w:tcMar>
          <w:vAlign w:val="center"/>
        </w:tcPr>
        <w:p w:rsidR="00FE3F52" w:rsidRDefault="00024C32">
          <w:pPr>
            <w:pStyle w:val="normal"/>
            <w:widowControl w:val="0"/>
            <w:spacing w:before="0" w:after="0" w:line="240" w:lineRule="auto"/>
            <w:ind w:left="0" w:firstLine="0"/>
          </w:pPr>
          <w:r>
            <w:rPr>
              <w:noProof/>
            </w:rPr>
            <w:drawing>
              <wp:inline distT="114300" distB="114300" distL="114300" distR="114300">
                <wp:extent cx="1800225" cy="5080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0" w:type="dxa"/>
          <w:tcMar>
            <w:left w:w="0" w:type="dxa"/>
            <w:right w:w="0" w:type="dxa"/>
          </w:tcMar>
        </w:tcPr>
        <w:p w:rsidR="00FE3F52" w:rsidRDefault="00024C32">
          <w:pPr>
            <w:pStyle w:val="normal"/>
            <w:widowControl w:val="0"/>
            <w:spacing w:before="0" w:after="0" w:line="240" w:lineRule="auto"/>
            <w:ind w:left="0" w:firstLine="0"/>
            <w:jc w:val="right"/>
            <w:rPr>
              <w:sz w:val="44"/>
              <w:szCs w:val="44"/>
            </w:rPr>
          </w:pPr>
          <w:r>
            <w:rPr>
              <w:noProof/>
            </w:rPr>
            <w:drawing>
              <wp:inline distT="114300" distB="114300" distL="114300" distR="114300">
                <wp:extent cx="1914525" cy="600075"/>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FE3F52" w:rsidRDefault="00FE3F52">
    <w:pPr>
      <w:pStyle w:val="normal"/>
      <w:ind w:left="0" w:firstLine="0"/>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7A0133"/>
    <w:multiLevelType w:val="multilevel"/>
    <w:tmpl w:val="AC408F1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FE3F52"/>
    <w:rsid w:val="00024C32"/>
    <w:rsid w:val="00226DD4"/>
    <w:rsid w:val="008D2FB3"/>
    <w:rsid w:val="0090537F"/>
    <w:rsid w:val="00F35DFB"/>
    <w:rsid w:val="00FE3F5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cs-CZ" w:eastAsia="cs-CZ" w:bidi="ar-SA"/>
      </w:rPr>
    </w:rPrDefault>
    <w:pPrDefault>
      <w:pPr>
        <w:spacing w:before="60" w:after="60" w:line="276"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537F"/>
  </w:style>
  <w:style w:type="paragraph" w:styleId="Nadpis1">
    <w:name w:val="heading 1"/>
    <w:basedOn w:val="normal"/>
    <w:next w:val="normal"/>
    <w:rsid w:val="00FE3F52"/>
    <w:pPr>
      <w:keepNext/>
      <w:keepLines/>
      <w:spacing w:line="240" w:lineRule="auto"/>
      <w:contextualSpacing/>
      <w:outlineLvl w:val="0"/>
    </w:pPr>
    <w:rPr>
      <w:b/>
      <w:sz w:val="32"/>
      <w:szCs w:val="32"/>
    </w:rPr>
  </w:style>
  <w:style w:type="paragraph" w:styleId="Nadpis2">
    <w:name w:val="heading 2"/>
    <w:basedOn w:val="normal"/>
    <w:next w:val="normal"/>
    <w:rsid w:val="00FE3F52"/>
    <w:pPr>
      <w:keepNext/>
      <w:keepLines/>
      <w:spacing w:before="200" w:after="100" w:line="240" w:lineRule="auto"/>
      <w:contextualSpacing/>
      <w:outlineLvl w:val="1"/>
    </w:pPr>
    <w:rPr>
      <w:b/>
      <w:sz w:val="28"/>
      <w:szCs w:val="28"/>
    </w:rPr>
  </w:style>
  <w:style w:type="paragraph" w:styleId="Nadpis3">
    <w:name w:val="heading 3"/>
    <w:basedOn w:val="normal"/>
    <w:next w:val="normal"/>
    <w:rsid w:val="00FE3F52"/>
    <w:pPr>
      <w:keepNext/>
      <w:keepLines/>
      <w:spacing w:before="160" w:after="80" w:line="240" w:lineRule="auto"/>
      <w:contextualSpacing/>
      <w:outlineLvl w:val="2"/>
    </w:pPr>
    <w:rPr>
      <w:b/>
      <w:sz w:val="24"/>
      <w:szCs w:val="24"/>
    </w:rPr>
  </w:style>
  <w:style w:type="paragraph" w:styleId="Nadpis4">
    <w:name w:val="heading 4"/>
    <w:basedOn w:val="normal"/>
    <w:next w:val="normal"/>
    <w:rsid w:val="00FE3F52"/>
    <w:pPr>
      <w:keepNext/>
      <w:keepLines/>
      <w:spacing w:before="160" w:after="80" w:line="240" w:lineRule="auto"/>
      <w:contextualSpacing/>
      <w:outlineLvl w:val="3"/>
    </w:pPr>
    <w:rPr>
      <w:b/>
    </w:rPr>
  </w:style>
  <w:style w:type="paragraph" w:styleId="Nadpis5">
    <w:name w:val="heading 5"/>
    <w:basedOn w:val="normal"/>
    <w:next w:val="normal"/>
    <w:rsid w:val="00FE3F52"/>
    <w:pPr>
      <w:keepNext/>
      <w:keepLines/>
      <w:spacing w:before="160" w:after="0"/>
      <w:contextualSpacing/>
      <w:outlineLvl w:val="4"/>
    </w:pPr>
    <w:rPr>
      <w:rFonts w:ascii="Trebuchet MS" w:eastAsia="Trebuchet MS" w:hAnsi="Trebuchet MS" w:cs="Trebuchet MS"/>
      <w:color w:val="666666"/>
    </w:rPr>
  </w:style>
  <w:style w:type="paragraph" w:styleId="Nadpis6">
    <w:name w:val="heading 6"/>
    <w:basedOn w:val="normal"/>
    <w:next w:val="normal"/>
    <w:rsid w:val="00FE3F52"/>
    <w:pPr>
      <w:keepNext/>
      <w:keepLines/>
      <w:spacing w:before="160" w:after="0"/>
      <w:contextualSpacing/>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
    <w:name w:val="normal"/>
    <w:rsid w:val="00FE3F52"/>
  </w:style>
  <w:style w:type="table" w:customStyle="1" w:styleId="TableNormal">
    <w:name w:val="Table Normal"/>
    <w:rsid w:val="00FE3F52"/>
    <w:tblPr>
      <w:tblCellMar>
        <w:top w:w="0" w:type="dxa"/>
        <w:left w:w="0" w:type="dxa"/>
        <w:bottom w:w="0" w:type="dxa"/>
        <w:right w:w="0" w:type="dxa"/>
      </w:tblCellMar>
    </w:tblPr>
  </w:style>
  <w:style w:type="paragraph" w:styleId="Nzev">
    <w:name w:val="Title"/>
    <w:basedOn w:val="normal"/>
    <w:next w:val="normal"/>
    <w:rsid w:val="00FE3F52"/>
    <w:pPr>
      <w:keepNext/>
      <w:keepLines/>
      <w:spacing w:line="240" w:lineRule="auto"/>
      <w:contextualSpacing/>
      <w:jc w:val="center"/>
    </w:pPr>
    <w:rPr>
      <w:b/>
      <w:sz w:val="44"/>
      <w:szCs w:val="44"/>
    </w:rPr>
  </w:style>
  <w:style w:type="paragraph" w:styleId="Podtitul">
    <w:name w:val="Subtitle"/>
    <w:basedOn w:val="normal"/>
    <w:next w:val="normal"/>
    <w:rsid w:val="00FE3F52"/>
    <w:pPr>
      <w:keepNext/>
      <w:keepLines/>
      <w:spacing w:before="0" w:after="200"/>
      <w:contextualSpacing/>
    </w:pPr>
    <w:rPr>
      <w:rFonts w:ascii="Trebuchet MS" w:eastAsia="Trebuchet MS" w:hAnsi="Trebuchet MS" w:cs="Trebuchet MS"/>
      <w:i/>
      <w:color w:val="666666"/>
      <w:sz w:val="26"/>
      <w:szCs w:val="26"/>
    </w:rPr>
  </w:style>
  <w:style w:type="table" w:customStyle="1" w:styleId="a">
    <w:basedOn w:val="TableNormal"/>
    <w:rsid w:val="00FE3F52"/>
    <w:tblPr>
      <w:tblStyleRowBandSize w:val="1"/>
      <w:tblStyleColBandSize w:val="1"/>
      <w:tblCellMar>
        <w:top w:w="0" w:type="dxa"/>
        <w:left w:w="0" w:type="dxa"/>
        <w:bottom w:w="0" w:type="dxa"/>
        <w:right w:w="0" w:type="dxa"/>
      </w:tblCellMar>
    </w:tblPr>
  </w:style>
  <w:style w:type="table" w:customStyle="1" w:styleId="a0">
    <w:basedOn w:val="TableNormal"/>
    <w:rsid w:val="00FE3F52"/>
    <w:tblPr>
      <w:tblStyleRowBandSize w:val="1"/>
      <w:tblStyleColBandSize w:val="1"/>
      <w:tblCellMar>
        <w:top w:w="0" w:type="dxa"/>
        <w:left w:w="0" w:type="dxa"/>
        <w:bottom w:w="0" w:type="dxa"/>
        <w:right w:w="0" w:type="dxa"/>
      </w:tblCellMar>
    </w:tblPr>
  </w:style>
  <w:style w:type="table" w:customStyle="1" w:styleId="a1">
    <w:basedOn w:val="TableNormal"/>
    <w:rsid w:val="00FE3F52"/>
    <w:tblPr>
      <w:tblStyleRowBandSize w:val="1"/>
      <w:tblStyleColBandSize w:val="1"/>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024C32"/>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24C32"/>
    <w:rPr>
      <w:rFonts w:ascii="Tahoma" w:hAnsi="Tahoma" w:cs="Tahoma"/>
      <w:sz w:val="16"/>
      <w:szCs w:val="16"/>
    </w:rPr>
  </w:style>
  <w:style w:type="paragraph" w:styleId="Zhlav">
    <w:name w:val="header"/>
    <w:basedOn w:val="Normln"/>
    <w:link w:val="ZhlavChar"/>
    <w:uiPriority w:val="99"/>
    <w:semiHidden/>
    <w:unhideWhenUsed/>
    <w:rsid w:val="00F35D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semiHidden/>
    <w:rsid w:val="00F35DFB"/>
  </w:style>
  <w:style w:type="paragraph" w:styleId="Zpat">
    <w:name w:val="footer"/>
    <w:basedOn w:val="Normln"/>
    <w:link w:val="ZpatChar"/>
    <w:uiPriority w:val="99"/>
    <w:semiHidden/>
    <w:unhideWhenUsed/>
    <w:rsid w:val="00F35DFB"/>
    <w:pPr>
      <w:tabs>
        <w:tab w:val="center" w:pos="4536"/>
        <w:tab w:val="right" w:pos="9072"/>
      </w:tabs>
      <w:spacing w:before="0" w:after="0" w:line="240" w:lineRule="auto"/>
    </w:pPr>
  </w:style>
  <w:style w:type="character" w:customStyle="1" w:styleId="ZpatChar">
    <w:name w:val="Zápatí Char"/>
    <w:basedOn w:val="Standardnpsmoodstavce"/>
    <w:link w:val="Zpat"/>
    <w:uiPriority w:val="99"/>
    <w:semiHidden/>
    <w:rsid w:val="00F35DF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gOT+CECiKRGkVuG+oVPQOp0hKUQ=</DigestValue>
    </Reference>
    <Reference URI="#idOfficeObject" Type="http://www.w3.org/2000/09/xmldsig#Object">
      <DigestMethod Algorithm="http://www.w3.org/2000/09/xmldsig#sha1"/>
      <DigestValue>4SOqEzDdzGGZpIxH8Alo49YugLw=</DigestValue>
    </Reference>
  </SignedInfo>
  <SignatureValue>
    W0gOWYQU3ji4EZr9MkZE4uPBAeAHnBSM/4Yrf0wUv6EQewDh/F+jrSukV0WFpzWdYkygE6WC
    +ThrBe2/fvRXGPRyLnAp4RbVyfCfexAM8GiULbgqfOM4m7eVRZ+UVUfiGctGxsYCPMN/Z6cR
    t96NJX7c8XqG5hK/f1OZbMjLVUBJCMtUq0+diKn5Aa0ML9VUE6lTBIA7EHHe4/BfrqKfMUYC
    JfL4u1hDDyAG02EyTs263iklRiDYJuIe/4N0uVozinYeG85eaAHTF4TnHIul1SXE45MzMjKp
    YJNpwR6MlfaOKpwUPEo3VhGwxL4abA9B5tBacmG/0WSBXkn3oe9Pwg==
  </SignatureValue>
  <KeyInfo>
    <KeyValue>
      <RSAKeyValue>
        <Modulus>
            s3IgacEHY/ReT5rrr+VpjzAJqdAmOcJbyvP6z8ECKnsDAB4NXxfrE2hxJsYC9q960WAgOB5c
            VL294ErlMmbpYRP/Takrbh0xueL5/dTS5JSHnONzVT46M5BgQBVAejjBFeCmMBgOw36WXXP7
            wNB7IH1OhGKq2iuDXsbooncuYg9Emusc52nIh/oJ9bN55k1aVx+79t7DJp++roU4KzL/Ir7u
            lQN9VvMMGQvDRKfBAzxdIwZuBc5EdYMsPTp4LbEDRXYsod6TcZj0Gd6zNDdUIU3VOUei3/Fz
            vOiU9U5+PSfGctRKbWzsyxRHA9Uu+FEVq9VSaVGdS1msU1KfUSxnNQ==
          </Modulus>
        <Exponent>AQAB</Exponent>
      </RSAKeyValue>
    </KeyValue>
    <X509Data>
      <X509Certificate>
          MIIHwjCCBqqgAwIBAgIDKZN5MA0GCSqGSIb3DQEBCwUAMF8xCzAJBgNVBAYTAkNaMSwwKgYD
          VQQKDCPEjGVza8OhIHBvxaF0YSwgcy5wLiBbScSMIDQ3MTE0OTgzXTEiMCAGA1UEAxMZUG9z
          dFNpZ251bSBRdWFsaWZpZWQgQ0EgMjAeFw0xNzExMjcwNjMyMjNaFw0xODEyMTcwNjMyMjNa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AAOCAQ8AMIIBCgKCAQEAs3IgacEHY/ReT5rrr+VpjzAJqdAmOcJbyvP6z8ECKnsDAB4NXxfr
          E2hxJsYC9q960WAgOB5cVL294ErlMmbpYRP/Takrbh0xueL5/dTS5JSHnONzVT46M5BgQBVA
          ejjBFeCmMBgOw36WXXP7wNB7IH1OhGKq2iuDXsbooncuYg9Emusc52nIh/oJ9bN55k1aVx+7
          9t7DJp++roU4KzL/Ir7ulQN9VvMMGQvDRKfBAzxdIwZuBc5EdYMsPTp4LbEDRXYsod6TcZj0
          Gd6zNDdUIU3VOUei3/FzvOiU9U5+PSfGctRKbWzsyxRHA9Uu+FEVq9VSaVGdS1msU1KfUSxn
          NQIDAQABo4IEIDCCBBwwQQYDVR0RBDowOIEQa2hvbHVzb3ZhQGRwby5jeqAZBgkrBgEEAdwZ
          AgGgDBMKMTU4MDM4MzQwOaAJBgNVBA2gAhMAMAkGA1UdEwQCMAAwggErBgNVHSAEggEiMIIB
          HjCCAQ8GCGeBBgEEARFuMIIBATCB2AYIKwYBBQUHAgIwgcsagchUZW50byBrdmFsaWZpa292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ZWRjYTIuY3JsMB0GA1UdDgQWBBTCPv0iiw6etZwRzrsFo2E7dKqrnDANBgkqhkiG9w0BAQsF
          AAOCAQEAlemqT0r0kvaTLYl8N9ReXCjH4hSVqKLFpSvjszshHMUccSxR/FGx4Gwa68NlXTj0
          SvC4nw13ngqeepvBYscXoBHKtOo6ntF9tjaDxCvfimeDWngG2kBk8Yl1tzNZssa4N7iWeDdf
          ROhrpqcr87dI8EMU4yr/RJULMpRbejYmt6BbQvXh+AxPKynS2/RsSYiOjzU4PRJKXb0fplRw
          Bq7JVMZ6VTcb2PcG3rDP6UVp7sD/De3srU+Rne8+zwoAxKDNiFY4k3ZbxkNCn4Cr8QiSwSW9
          9a1WTzfAD7bI0VWqC7r9O4ZxDa6LDI/6BicA55Y9kohCEZIWE6rMw3Ox8zkiXw==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pb06yHZXoTjXYkgGeIvzRYs7mQM=</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document.xml?ContentType=application/vnd.openxmlformats-officedocument.wordprocessingml.document.main+xml">
        <DigestMethod Algorithm="http://www.w3.org/2000/09/xmldsig#sha1"/>
        <DigestValue>tAeOvP+wAeFUpEOE02UNn/YlzFs=</DigestValue>
      </Reference>
      <Reference URI="/word/endnotes.xml?ContentType=application/vnd.openxmlformats-officedocument.wordprocessingml.endnotes+xml">
        <DigestMethod Algorithm="http://www.w3.org/2000/09/xmldsig#sha1"/>
        <DigestValue>5LiF1U6WohZFFXs/ypRYjGosKrE=</DigestValue>
      </Reference>
      <Reference URI="/word/fontTable.xml?ContentType=application/vnd.openxmlformats-officedocument.wordprocessingml.fontTable+xml">
        <DigestMethod Algorithm="http://www.w3.org/2000/09/xmldsig#sha1"/>
        <DigestValue>m9DMG+ZN/n4lG9sQLVN0y2sILO4=</DigestValue>
      </Reference>
      <Reference URI="/word/footer1.xml?ContentType=application/vnd.openxmlformats-officedocument.wordprocessingml.footer+xml">
        <DigestMethod Algorithm="http://www.w3.org/2000/09/xmldsig#sha1"/>
        <DigestValue>gxOwPJ4N8Tha6MdRhOdRpGP0RrM=</DigestValue>
      </Reference>
      <Reference URI="/word/footnotes.xml?ContentType=application/vnd.openxmlformats-officedocument.wordprocessingml.footnotes+xml">
        <DigestMethod Algorithm="http://www.w3.org/2000/09/xmldsig#sha1"/>
        <DigestValue>lOaq/QWgEWyvmkn8iiGtWIcTDQ4=</DigestValue>
      </Reference>
      <Reference URI="/word/header1.xml?ContentType=application/vnd.openxmlformats-officedocument.wordprocessingml.header+xml">
        <DigestMethod Algorithm="http://www.w3.org/2000/09/xmldsig#sha1"/>
        <DigestValue>Nv8Cozad7dTzrJSePI8VJhn6GxY=</DigestValue>
      </Reference>
      <Reference URI="/word/media/image1.png?ContentType=image/png">
        <DigestMethod Algorithm="http://www.w3.org/2000/09/xmldsig#sha1"/>
        <DigestValue>DP18KEdFcbjX/60yoRZ2KVkpO6g=</DigestValue>
      </Reference>
      <Reference URI="/word/media/image2.png?ContentType=image/png">
        <DigestMethod Algorithm="http://www.w3.org/2000/09/xmldsig#sha1"/>
        <DigestValue>isiQRwRz4uNBi+nltdIPGLyU7XI=</DigestValue>
      </Reference>
      <Reference URI="/word/numbering.xml?ContentType=application/vnd.openxmlformats-officedocument.wordprocessingml.numbering+xml">
        <DigestMethod Algorithm="http://www.w3.org/2000/09/xmldsig#sha1"/>
        <DigestValue>3Fp39bI/Sxfu66xGjaiFVidzyBk=</DigestValue>
      </Reference>
      <Reference URI="/word/settings.xml?ContentType=application/vnd.openxmlformats-officedocument.wordprocessingml.settings+xml">
        <DigestMethod Algorithm="http://www.w3.org/2000/09/xmldsig#sha1"/>
        <DigestValue>jW7Zcak6F+s+sfamAd424UXb9k0=</DigestValue>
      </Reference>
      <Reference URI="/word/styles.xml?ContentType=application/vnd.openxmlformats-officedocument.wordprocessingml.styles+xml">
        <DigestMethod Algorithm="http://www.w3.org/2000/09/xmldsig#sha1"/>
        <DigestValue>JTQVIMAl1UrvKLdi3WLMYxBPGB0=</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mdssi:Format>YYYY-MM-DDThh:mm:ssTZD</mdssi:Format>
          <mdssi:Value>2017-12-04T09:46:00Z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3</Pages>
  <Words>786</Words>
  <Characters>4638</Characters>
  <Application>Microsoft Office Word</Application>
  <DocSecurity>0</DocSecurity>
  <Lines>38</Lines>
  <Paragraphs>10</Paragraphs>
  <ScaleCrop>false</ScaleCrop>
  <Company>Microsoft</Company>
  <LinksUpToDate>false</LinksUpToDate>
  <CharactersWithSpaces>5414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holusovak</cp:lastModifiedBy>
  <cp:revision>4</cp:revision>
  <dcterms:created xsi:type="dcterms:W3CDTF">2017-06-16T10:47:00Z</dcterms:created>
  <dcterms:modified xsi:type="dcterms:W3CDTF">2017-11-22T12:36:00Z</dcterms:modified>
</cp:coreProperties>
</file>