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6C1B62EC" w:rsidR="00266013" w:rsidRPr="00A05C47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 xml:space="preserve">Číslo smlouvy </w:t>
      </w:r>
      <w:r w:rsidR="009C472A">
        <w:rPr>
          <w:rFonts w:ascii="Times New Roman" w:hAnsi="Times New Roman"/>
          <w:sz w:val="22"/>
          <w:szCs w:val="22"/>
        </w:rPr>
        <w:t>kupujícího</w:t>
      </w:r>
      <w:r w:rsidRPr="00A05C47">
        <w:rPr>
          <w:rFonts w:ascii="Times New Roman" w:hAnsi="Times New Roman"/>
          <w:sz w:val="22"/>
          <w:szCs w:val="22"/>
        </w:rPr>
        <w:t>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E83CD1" w:rsidRPr="00E83CD1">
        <w:rPr>
          <w:rFonts w:ascii="Times New Roman" w:hAnsi="Times New Roman"/>
          <w:sz w:val="22"/>
          <w:szCs w:val="22"/>
        </w:rPr>
        <w:t>DOD20190</w:t>
      </w:r>
      <w:r w:rsidR="00C5192F">
        <w:rPr>
          <w:rFonts w:ascii="Times New Roman" w:hAnsi="Times New Roman"/>
          <w:sz w:val="22"/>
          <w:szCs w:val="22"/>
        </w:rPr>
        <w:t>343</w:t>
      </w:r>
    </w:p>
    <w:p w14:paraId="793B9A46" w14:textId="115BDFEA" w:rsidR="00266013" w:rsidRPr="00A05C47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</w:t>
      </w:r>
      <w:r w:rsidR="009C472A">
        <w:rPr>
          <w:rFonts w:ascii="Times New Roman" w:hAnsi="Times New Roman"/>
          <w:sz w:val="22"/>
          <w:szCs w:val="22"/>
        </w:rPr>
        <w:t>prodávajícího</w:t>
      </w:r>
      <w:r w:rsidR="00266013" w:rsidRPr="00A05C47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583F9BF3" w:rsidR="00266013" w:rsidRPr="00A05C47" w:rsidRDefault="009C472A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 xml:space="preserve">zapsaná v obch. </w:t>
      </w:r>
      <w:proofErr w:type="gramStart"/>
      <w:r w:rsidRPr="00A05C47">
        <w:rPr>
          <w:sz w:val="22"/>
          <w:szCs w:val="22"/>
        </w:rPr>
        <w:t>rejstříku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665BFEC1" w:rsidR="00394369" w:rsidRPr="00540FAF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6E072D">
          <w:rPr>
            <w:sz w:val="22"/>
          </w:rPr>
          <w:t>Jiri.Osmancik@dpo.cz</w:t>
        </w:r>
      </w:hyperlink>
    </w:p>
    <w:p w14:paraId="38C950E6" w14:textId="17A7A636" w:rsidR="00253F2A" w:rsidRPr="00540FAF" w:rsidRDefault="00253F2A" w:rsidP="00253F2A">
      <w:pPr>
        <w:pStyle w:val="Zpat"/>
        <w:widowControl w:val="0"/>
        <w:tabs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540FAF">
        <w:rPr>
          <w:sz w:val="22"/>
          <w:szCs w:val="22"/>
        </w:rPr>
        <w:tab/>
        <w:t xml:space="preserve">Ing. Jaroslav Jelínek, vedoucí střediska </w:t>
      </w:r>
      <w:r>
        <w:rPr>
          <w:sz w:val="22"/>
          <w:szCs w:val="22"/>
        </w:rPr>
        <w:t>t</w:t>
      </w:r>
      <w:r w:rsidRPr="00540FAF">
        <w:rPr>
          <w:sz w:val="22"/>
          <w:szCs w:val="22"/>
        </w:rPr>
        <w:t>rolejbusy,</w:t>
      </w:r>
    </w:p>
    <w:p w14:paraId="72492D25" w14:textId="68C14C7E" w:rsidR="00253F2A" w:rsidRDefault="00253F2A" w:rsidP="00540FAF">
      <w:pPr>
        <w:pStyle w:val="Zpat"/>
        <w:widowControl w:val="0"/>
        <w:tabs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540FAF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Pr="00540FAF">
        <w:rPr>
          <w:sz w:val="22"/>
          <w:szCs w:val="22"/>
        </w:rPr>
        <w:t>el.: 59 740 25</w:t>
      </w:r>
      <w:r>
        <w:rPr>
          <w:sz w:val="22"/>
          <w:szCs w:val="22"/>
        </w:rPr>
        <w:t>5</w:t>
      </w:r>
      <w:r w:rsidRPr="00540FAF">
        <w:rPr>
          <w:sz w:val="22"/>
          <w:szCs w:val="22"/>
        </w:rPr>
        <w:t xml:space="preserve">0, e-mail: </w:t>
      </w:r>
      <w:hyperlink r:id="rId9" w:history="1">
        <w:r w:rsidRPr="006E072D">
          <w:rPr>
            <w:sz w:val="22"/>
          </w:rPr>
          <w:t>Jaroslav.Jelinek@dpo.cz</w:t>
        </w:r>
      </w:hyperlink>
      <w:r w:rsidRPr="00540FAF">
        <w:rPr>
          <w:sz w:val="22"/>
          <w:szCs w:val="22"/>
        </w:rPr>
        <w:t xml:space="preserve">, </w:t>
      </w:r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</w:r>
      <w:proofErr w:type="spellStart"/>
      <w:r w:rsidRPr="00A05C47">
        <w:rPr>
          <w:sz w:val="22"/>
          <w:szCs w:val="22"/>
        </w:rPr>
        <w:t>UniCredit</w:t>
      </w:r>
      <w:proofErr w:type="spellEnd"/>
      <w:r w:rsidRPr="00A05C47">
        <w:rPr>
          <w:sz w:val="22"/>
          <w:szCs w:val="22"/>
        </w:rPr>
        <w:t xml:space="preserve">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0ABC91E4" w:rsidR="00266013" w:rsidRPr="0095097B" w:rsidRDefault="004676AF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BA272C">
        <w:rPr>
          <w:b/>
          <w:sz w:val="22"/>
          <w:szCs w:val="22"/>
        </w:rPr>
        <w:t>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7777777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proofErr w:type="gramStart"/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proofErr w:type="gramEnd"/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</w:p>
    <w:p w14:paraId="186C3752" w14:textId="5BFC7F37" w:rsidR="00266013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AC59B3" w:rsidRPr="00AC59B3">
        <w:rPr>
          <w:sz w:val="22"/>
          <w:szCs w:val="22"/>
        </w:rPr>
        <w:t>NR-57-19-PŘ-Ta</w:t>
      </w:r>
      <w:r w:rsidR="00602E42">
        <w:rPr>
          <w:sz w:val="22"/>
          <w:szCs w:val="22"/>
        </w:rPr>
        <w:t>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1FF5C8CD" w:rsidR="006105CA" w:rsidRPr="00970B49" w:rsidRDefault="006738CE" w:rsidP="00BC5900">
      <w:pPr>
        <w:pStyle w:val="rove2"/>
        <w:rPr>
          <w:sz w:val="22"/>
          <w:szCs w:val="22"/>
        </w:rPr>
      </w:pPr>
      <w:r w:rsidRPr="00970B49">
        <w:rPr>
          <w:sz w:val="22"/>
          <w:szCs w:val="22"/>
        </w:rPr>
        <w:t xml:space="preserve">Předmětem </w:t>
      </w:r>
      <w:r w:rsidR="000A1E5E" w:rsidRPr="00970B49">
        <w:rPr>
          <w:sz w:val="22"/>
          <w:szCs w:val="22"/>
        </w:rPr>
        <w:t xml:space="preserve">plnění prodávajícího </w:t>
      </w:r>
      <w:r w:rsidRPr="00970B49">
        <w:rPr>
          <w:sz w:val="22"/>
          <w:szCs w:val="22"/>
        </w:rPr>
        <w:t>je</w:t>
      </w:r>
      <w:r w:rsidR="002C7A24">
        <w:rPr>
          <w:sz w:val="22"/>
          <w:szCs w:val="22"/>
        </w:rPr>
        <w:t xml:space="preserve">: </w:t>
      </w:r>
      <w:r w:rsidR="002C7A24" w:rsidRPr="002C7A24">
        <w:rPr>
          <w:b/>
          <w:sz w:val="22"/>
          <w:szCs w:val="22"/>
        </w:rPr>
        <w:t>„D</w:t>
      </w:r>
      <w:r w:rsidR="00B92CBE" w:rsidRPr="002C7A24">
        <w:rPr>
          <w:b/>
          <w:sz w:val="22"/>
          <w:szCs w:val="22"/>
        </w:rPr>
        <w:t xml:space="preserve">odání </w:t>
      </w:r>
      <w:r w:rsidR="00797A8A" w:rsidRPr="002C7A24">
        <w:rPr>
          <w:b/>
          <w:sz w:val="22"/>
          <w:szCs w:val="22"/>
        </w:rPr>
        <w:t>vybavení pracoviště diagnostiky včetně příslušenství</w:t>
      </w:r>
      <w:r w:rsidR="00797A8A">
        <w:rPr>
          <w:sz w:val="22"/>
          <w:szCs w:val="22"/>
        </w:rPr>
        <w:t xml:space="preserve"> </w:t>
      </w:r>
      <w:r w:rsidR="0080224C" w:rsidRPr="00970B49">
        <w:rPr>
          <w:sz w:val="22"/>
          <w:szCs w:val="22"/>
        </w:rPr>
        <w:t>(dále také jen „zboží“)</w:t>
      </w:r>
      <w:r w:rsidR="00D66B57">
        <w:rPr>
          <w:sz w:val="22"/>
          <w:szCs w:val="22"/>
        </w:rPr>
        <w:t xml:space="preserve"> </w:t>
      </w:r>
      <w:r w:rsidR="00D66B57" w:rsidRPr="002C7A24">
        <w:rPr>
          <w:b/>
          <w:sz w:val="22"/>
          <w:szCs w:val="22"/>
        </w:rPr>
        <w:t>a</w:t>
      </w:r>
      <w:r w:rsidR="00FE202D" w:rsidRPr="002C7A24">
        <w:rPr>
          <w:b/>
          <w:sz w:val="22"/>
          <w:szCs w:val="22"/>
        </w:rPr>
        <w:t xml:space="preserve"> zprovoznění</w:t>
      </w:r>
      <w:r w:rsidR="002C7A24" w:rsidRPr="002C7A24">
        <w:rPr>
          <w:b/>
          <w:sz w:val="22"/>
          <w:szCs w:val="22"/>
        </w:rPr>
        <w:t>“</w:t>
      </w:r>
      <w:r w:rsidR="006E0951" w:rsidRPr="00970B49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5D0CFD8F" w:rsidR="003B4247" w:rsidRDefault="00797A8A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2 ks hydraulické zařízení ke zjišťování vůlí náprav</w:t>
      </w:r>
      <w:r w:rsidR="008D30A9" w:rsidDel="008D30A9">
        <w:rPr>
          <w:sz w:val="22"/>
          <w:szCs w:val="22"/>
        </w:rPr>
        <w:t xml:space="preserve"> </w:t>
      </w:r>
      <w:r w:rsidR="003B4247" w:rsidRPr="00963C15">
        <w:rPr>
          <w:sz w:val="22"/>
          <w:szCs w:val="22"/>
          <w:highlight w:val="cyan"/>
        </w:rPr>
        <w:t>…….</w:t>
      </w:r>
      <w:r w:rsidR="001F1EF9" w:rsidRPr="00963C15">
        <w:rPr>
          <w:sz w:val="22"/>
          <w:szCs w:val="22"/>
          <w:highlight w:val="cyan"/>
        </w:rPr>
        <w:t>…….…….</w:t>
      </w:r>
      <w:r w:rsidR="003B4247" w:rsidRPr="00B621EA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včetně</w:t>
      </w:r>
      <w:proofErr w:type="gramEnd"/>
      <w:r w:rsidR="00C35734">
        <w:rPr>
          <w:sz w:val="22"/>
          <w:szCs w:val="22"/>
        </w:rPr>
        <w:t xml:space="preserve"> </w:t>
      </w:r>
      <w:r w:rsidR="003B4247" w:rsidRPr="00B621EA">
        <w:rPr>
          <w:sz w:val="22"/>
          <w:szCs w:val="22"/>
        </w:rPr>
        <w:t> příslušenství;</w:t>
      </w:r>
    </w:p>
    <w:p w14:paraId="59993E6E" w14:textId="7F4972BA" w:rsidR="00991E5B" w:rsidRDefault="00991E5B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2 ks v</w:t>
      </w:r>
      <w:r w:rsidRPr="00CC5D8D">
        <w:rPr>
          <w:sz w:val="22"/>
          <w:szCs w:val="22"/>
        </w:rPr>
        <w:t>álcová zkušebna brzd</w:t>
      </w:r>
      <w:r>
        <w:rPr>
          <w:sz w:val="22"/>
          <w:szCs w:val="22"/>
        </w:rPr>
        <w:t xml:space="preserve"> </w:t>
      </w:r>
      <w:r w:rsidRPr="00963C15">
        <w:rPr>
          <w:sz w:val="22"/>
          <w:szCs w:val="22"/>
          <w:highlight w:val="cyan"/>
        </w:rPr>
        <w:t>…….…….…….</w:t>
      </w:r>
      <w:r w:rsidRPr="00B621EA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včetně</w:t>
      </w:r>
      <w:proofErr w:type="gramEnd"/>
      <w:r>
        <w:rPr>
          <w:sz w:val="22"/>
          <w:szCs w:val="22"/>
        </w:rPr>
        <w:t xml:space="preserve"> </w:t>
      </w:r>
      <w:r w:rsidRPr="00B621EA">
        <w:rPr>
          <w:sz w:val="22"/>
          <w:szCs w:val="22"/>
        </w:rPr>
        <w:t> příslušenství;</w:t>
      </w:r>
    </w:p>
    <w:p w14:paraId="3FC346C7" w14:textId="72A48CE5" w:rsidR="00991E5B" w:rsidRDefault="00991E5B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1 ks odsávání výfukových plynů </w:t>
      </w:r>
      <w:r w:rsidRPr="00963C15">
        <w:rPr>
          <w:sz w:val="22"/>
          <w:szCs w:val="22"/>
          <w:highlight w:val="cyan"/>
        </w:rPr>
        <w:t>…….…….…….</w:t>
      </w:r>
      <w:r w:rsidRPr="00B621EA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včetně</w:t>
      </w:r>
      <w:proofErr w:type="gramEnd"/>
      <w:r>
        <w:rPr>
          <w:sz w:val="22"/>
          <w:szCs w:val="22"/>
        </w:rPr>
        <w:t xml:space="preserve"> </w:t>
      </w:r>
      <w:r w:rsidRPr="00B621EA">
        <w:rPr>
          <w:sz w:val="22"/>
          <w:szCs w:val="22"/>
        </w:rPr>
        <w:t> příslušenství;</w:t>
      </w:r>
    </w:p>
    <w:p w14:paraId="4032007A" w14:textId="2AEF286D" w:rsidR="002E3A5F" w:rsidRPr="00E70A4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6F2E18CF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požadavky kupujícího stanovené v přílo</w:t>
      </w:r>
      <w:r w:rsidR="00152454">
        <w:rPr>
          <w:sz w:val="22"/>
          <w:szCs w:val="22"/>
        </w:rPr>
        <w:t>hách</w:t>
      </w:r>
      <w:r w:rsidR="00E3556A">
        <w:rPr>
          <w:sz w:val="22"/>
          <w:szCs w:val="22"/>
        </w:rPr>
        <w:t xml:space="preserve"> č. 3</w:t>
      </w:r>
      <w:r w:rsidR="00152454">
        <w:rPr>
          <w:sz w:val="22"/>
          <w:szCs w:val="22"/>
        </w:rPr>
        <w:t>a, 3b, 3c</w:t>
      </w:r>
      <w:r w:rsidR="00E3556A">
        <w:rPr>
          <w:sz w:val="22"/>
          <w:szCs w:val="22"/>
        </w:rPr>
        <w:t xml:space="preserve"> této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</w:t>
      </w:r>
      <w:proofErr w:type="gramEnd"/>
      <w:r w:rsidR="000A1E5E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4DDF3C8F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</w:t>
      </w:r>
      <w:proofErr w:type="gramStart"/>
      <w:r w:rsidR="00090536">
        <w:rPr>
          <w:sz w:val="22"/>
          <w:szCs w:val="22"/>
        </w:rPr>
        <w:t>5.1. smlouvy</w:t>
      </w:r>
      <w:proofErr w:type="gramEnd"/>
      <w:r w:rsidR="00090536">
        <w:rPr>
          <w:sz w:val="22"/>
          <w:szCs w:val="22"/>
        </w:rPr>
        <w:t xml:space="preserve"> </w:t>
      </w:r>
      <w:r w:rsidR="00FD2F12">
        <w:rPr>
          <w:sz w:val="22"/>
          <w:szCs w:val="22"/>
        </w:rPr>
        <w:t>a 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</w:t>
      </w:r>
      <w:r w:rsidR="00970B49">
        <w:rPr>
          <w:sz w:val="22"/>
          <w:szCs w:val="22"/>
        </w:rPr>
        <w:t>u</w:t>
      </w:r>
      <w:r w:rsidR="00090536">
        <w:rPr>
          <w:sz w:val="22"/>
          <w:szCs w:val="22"/>
        </w:rPr>
        <w:t>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>
        <w:rPr>
          <w:sz w:val="22"/>
          <w:szCs w:val="22"/>
        </w:rPr>
        <w:t>Z</w:t>
      </w:r>
      <w:r w:rsidRPr="003E1C9E">
        <w:rPr>
          <w:sz w:val="22"/>
          <w:szCs w:val="22"/>
        </w:rPr>
        <w:t xml:space="preserve">a účelem zajištění plynulosti řádného </w:t>
      </w:r>
      <w:r>
        <w:rPr>
          <w:sz w:val="22"/>
          <w:szCs w:val="22"/>
        </w:rPr>
        <w:t>užívání zboží p</w:t>
      </w:r>
      <w:r w:rsidRPr="003E1C9E">
        <w:rPr>
          <w:sz w:val="22"/>
          <w:szCs w:val="22"/>
        </w:rPr>
        <w:t xml:space="preserve">rodávající uděluje podpisem této smlouvy </w:t>
      </w:r>
      <w:r>
        <w:rPr>
          <w:sz w:val="22"/>
          <w:szCs w:val="22"/>
        </w:rPr>
        <w:t>k</w:t>
      </w:r>
      <w:r w:rsidRPr="003E1C9E">
        <w:rPr>
          <w:sz w:val="22"/>
          <w:szCs w:val="22"/>
        </w:rPr>
        <w:t xml:space="preserve">upujícímu autorizaci </w:t>
      </w:r>
      <w:r>
        <w:rPr>
          <w:sz w:val="22"/>
          <w:szCs w:val="22"/>
        </w:rPr>
        <w:t>k provádění kontrol, zkoušek a revizí</w:t>
      </w:r>
      <w:r w:rsidRPr="003E1C9E">
        <w:rPr>
          <w:sz w:val="22"/>
          <w:szCs w:val="22"/>
        </w:rPr>
        <w:t xml:space="preserve"> </w:t>
      </w:r>
      <w:r>
        <w:rPr>
          <w:sz w:val="22"/>
          <w:szCs w:val="22"/>
        </w:rPr>
        <w:t>na dodaném zboží.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6B12FD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566841A5" w:rsidR="0031106F" w:rsidRDefault="0031106F" w:rsidP="006B12FD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991E5B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5BFA7AF2" w14:textId="2FFC90DB" w:rsidR="00991E5B" w:rsidRDefault="00991E5B" w:rsidP="00540FAF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540FAF">
        <w:rPr>
          <w:b w:val="0"/>
          <w:bCs w:val="0"/>
          <w:sz w:val="22"/>
          <w:szCs w:val="22"/>
        </w:rPr>
        <w:t>Areál trolejbusy Ostrava, ul. Sokolská 3243/64, 702 00 Ostrava, Moravská Ostrava.</w:t>
      </w:r>
    </w:p>
    <w:p w14:paraId="074DDD6E" w14:textId="69C1EEAD" w:rsidR="0075229B" w:rsidRPr="00C01712" w:rsidRDefault="0075229B" w:rsidP="00C01712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</w:t>
      </w:r>
      <w:r>
        <w:rPr>
          <w:b w:val="0"/>
          <w:bCs w:val="0"/>
          <w:sz w:val="22"/>
          <w:szCs w:val="22"/>
        </w:rPr>
        <w:t>aroslav</w:t>
      </w:r>
      <w:r w:rsidRPr="006B12F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Jelínek</w:t>
      </w:r>
      <w:r w:rsidRPr="006B12FD">
        <w:rPr>
          <w:b w:val="0"/>
          <w:bCs w:val="0"/>
          <w:sz w:val="22"/>
          <w:szCs w:val="22"/>
        </w:rPr>
        <w:t xml:space="preserve">, vedoucí střediska údržba </w:t>
      </w:r>
      <w:r>
        <w:rPr>
          <w:b w:val="0"/>
          <w:bCs w:val="0"/>
          <w:sz w:val="22"/>
          <w:szCs w:val="22"/>
        </w:rPr>
        <w:t>trolejbusy, tel. 597 402</w:t>
      </w:r>
      <w:r w:rsidR="009F1FBA">
        <w:rPr>
          <w:b w:val="0"/>
          <w:bCs w:val="0"/>
          <w:sz w:val="22"/>
          <w:szCs w:val="22"/>
        </w:rPr>
        <w:t> 550, mobil 702 210 679.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486B7A98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C01712">
        <w:rPr>
          <w:sz w:val="22"/>
          <w:szCs w:val="22"/>
        </w:rPr>
        <w:t>28</w:t>
      </w:r>
      <w:r w:rsidR="00970B49">
        <w:rPr>
          <w:sz w:val="22"/>
          <w:szCs w:val="22"/>
        </w:rPr>
        <w:t xml:space="preserve">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="00C01712">
        <w:rPr>
          <w:sz w:val="22"/>
          <w:szCs w:val="22"/>
        </w:rPr>
        <w:t xml:space="preserve"> vystavení objednávky</w:t>
      </w:r>
      <w:r w:rsidRPr="006A719F">
        <w:rPr>
          <w:sz w:val="22"/>
          <w:szCs w:val="22"/>
        </w:rPr>
        <w:t>.</w:t>
      </w:r>
    </w:p>
    <w:p w14:paraId="7E8806ED" w14:textId="3D426FDB" w:rsidR="00C01712" w:rsidRPr="00540FAF" w:rsidRDefault="00C01712" w:rsidP="00540FA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540FAF">
        <w:rPr>
          <w:sz w:val="22"/>
          <w:szCs w:val="22"/>
        </w:rPr>
        <w:t xml:space="preserve">Dodání </w:t>
      </w:r>
      <w:r>
        <w:rPr>
          <w:sz w:val="22"/>
          <w:szCs w:val="22"/>
        </w:rPr>
        <w:t xml:space="preserve">zboží </w:t>
      </w:r>
      <w:r w:rsidRPr="00540FAF">
        <w:rPr>
          <w:sz w:val="22"/>
          <w:szCs w:val="22"/>
        </w:rPr>
        <w:t xml:space="preserve"> bude uskutečněno na základě samostatné objednávky. Objednávka bude vystavena nejpozději do </w:t>
      </w:r>
      <w:r>
        <w:rPr>
          <w:sz w:val="22"/>
          <w:szCs w:val="22"/>
        </w:rPr>
        <w:t>12</w:t>
      </w:r>
      <w:r w:rsidRPr="00540FAF">
        <w:rPr>
          <w:sz w:val="22"/>
          <w:szCs w:val="22"/>
        </w:rPr>
        <w:t xml:space="preserve">0 dnů od účinnosti této Kupní smlouvy. Prodávající je povinen výzvu (objednávku) nejpozději následující pracovní den od jejího obdržení potvrdit na e-mailovou adresu oprávněného zástupce pro věci smluvní </w:t>
      </w:r>
      <w:r w:rsidR="00246DDC">
        <w:rPr>
          <w:sz w:val="22"/>
          <w:szCs w:val="22"/>
        </w:rPr>
        <w:t>k</w:t>
      </w:r>
      <w:r w:rsidRPr="00540FAF">
        <w:rPr>
          <w:sz w:val="22"/>
          <w:szCs w:val="22"/>
        </w:rPr>
        <w:t xml:space="preserve">upujícího. Nepotvrzení výzvy (objednávky) v uvedené lhůtě nemá vliv na povinnost </w:t>
      </w:r>
      <w:r w:rsidR="00246DDC">
        <w:rPr>
          <w:sz w:val="22"/>
          <w:szCs w:val="22"/>
        </w:rPr>
        <w:t>p</w:t>
      </w:r>
      <w:r w:rsidRPr="00540FAF">
        <w:rPr>
          <w:sz w:val="22"/>
          <w:szCs w:val="22"/>
        </w:rPr>
        <w:t>rodávajícího dodat zboží dle této Kupní smlouvy.</w:t>
      </w:r>
    </w:p>
    <w:p w14:paraId="0A7CB105" w14:textId="77777777" w:rsidR="00C01712" w:rsidRDefault="00C01712" w:rsidP="00540FAF">
      <w:pPr>
        <w:pStyle w:val="rove2"/>
        <w:widowControl w:val="0"/>
        <w:numPr>
          <w:ilvl w:val="0"/>
          <w:numId w:val="0"/>
        </w:numPr>
        <w:spacing w:before="120" w:after="0"/>
        <w:rPr>
          <w:sz w:val="22"/>
          <w:szCs w:val="22"/>
        </w:rPr>
      </w:pP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lastRenderedPageBreak/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730B7369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p</w:t>
      </w:r>
      <w:r w:rsidR="000B64F1" w:rsidRPr="000B64F1">
        <w:rPr>
          <w:sz w:val="22"/>
          <w:szCs w:val="22"/>
        </w:rPr>
        <w:t>ožadavk</w:t>
      </w:r>
      <w:r w:rsidR="000B64F1">
        <w:rPr>
          <w:sz w:val="22"/>
          <w:szCs w:val="22"/>
        </w:rPr>
        <w:t>ů</w:t>
      </w:r>
      <w:r w:rsidR="000B64F1" w:rsidRPr="000B64F1">
        <w:rPr>
          <w:sz w:val="22"/>
          <w:szCs w:val="22"/>
        </w:rPr>
        <w:t xml:space="preserve"> kupujícího </w:t>
      </w:r>
      <w:r w:rsidR="000B64F1">
        <w:rPr>
          <w:sz w:val="22"/>
          <w:szCs w:val="22"/>
        </w:rPr>
        <w:t>uveden</w:t>
      </w:r>
      <w:r w:rsidR="00102E46">
        <w:rPr>
          <w:sz w:val="22"/>
          <w:szCs w:val="22"/>
        </w:rPr>
        <w:t>ých</w:t>
      </w:r>
      <w:r w:rsidR="000B64F1">
        <w:rPr>
          <w:sz w:val="22"/>
          <w:szCs w:val="22"/>
        </w:rPr>
        <w:t xml:space="preserve"> v přílo</w:t>
      </w:r>
      <w:r w:rsidR="00102E46">
        <w:rPr>
          <w:sz w:val="22"/>
          <w:szCs w:val="22"/>
        </w:rPr>
        <w:t>hách</w:t>
      </w:r>
      <w:r w:rsidR="000B64F1">
        <w:rPr>
          <w:sz w:val="22"/>
          <w:szCs w:val="22"/>
        </w:rPr>
        <w:t xml:space="preserve"> č. 3</w:t>
      </w:r>
      <w:r w:rsidR="00092AA6">
        <w:rPr>
          <w:sz w:val="22"/>
          <w:szCs w:val="22"/>
        </w:rPr>
        <w:t xml:space="preserve">a, 3b, 3c </w:t>
      </w:r>
      <w:r w:rsidR="00090536">
        <w:rPr>
          <w:sz w:val="22"/>
          <w:szCs w:val="22"/>
        </w:rPr>
        <w:t>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011104DC" w:rsidR="00DE2F32" w:rsidRDefault="00DE2F32" w:rsidP="00540FAF">
      <w:pPr>
        <w:pStyle w:val="rove2"/>
        <w:widowControl w:val="0"/>
        <w:numPr>
          <w:ilvl w:val="0"/>
          <w:numId w:val="0"/>
        </w:numPr>
        <w:spacing w:before="120" w:after="0"/>
        <w:ind w:left="360"/>
        <w:rPr>
          <w:sz w:val="22"/>
          <w:szCs w:val="22"/>
        </w:rPr>
      </w:pPr>
    </w:p>
    <w:tbl>
      <w:tblPr>
        <w:tblStyle w:val="Mkatabulky1"/>
        <w:tblW w:w="9010" w:type="dxa"/>
        <w:tblInd w:w="36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3"/>
        <w:gridCol w:w="2316"/>
      </w:tblGrid>
      <w:tr w:rsidR="007E79ED" w:rsidRPr="007E79ED" w14:paraId="515AD331" w14:textId="77777777" w:rsidTr="00631B27">
        <w:tc>
          <w:tcPr>
            <w:tcW w:w="741" w:type="dxa"/>
            <w:shd w:val="clear" w:color="auto" w:fill="C4BC96" w:themeFill="background2" w:themeFillShade="BF"/>
          </w:tcPr>
          <w:p w14:paraId="10FC61AC" w14:textId="77777777" w:rsidR="007E79ED" w:rsidRPr="007E79ED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>Bod</w:t>
            </w:r>
          </w:p>
        </w:tc>
        <w:tc>
          <w:tcPr>
            <w:tcW w:w="5953" w:type="dxa"/>
            <w:shd w:val="clear" w:color="auto" w:fill="C4BC96" w:themeFill="background2" w:themeFillShade="BF"/>
          </w:tcPr>
          <w:p w14:paraId="3D3BB4CA" w14:textId="77777777" w:rsidR="007E79ED" w:rsidRPr="007E79ED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 xml:space="preserve">Plnění </w:t>
            </w:r>
          </w:p>
        </w:tc>
        <w:tc>
          <w:tcPr>
            <w:tcW w:w="2316" w:type="dxa"/>
            <w:shd w:val="clear" w:color="auto" w:fill="C4BC96" w:themeFill="background2" w:themeFillShade="BF"/>
          </w:tcPr>
          <w:p w14:paraId="369370CA" w14:textId="77777777" w:rsidR="007E79ED" w:rsidRPr="007E79ED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>Cena v Kč bez DPH</w:t>
            </w:r>
          </w:p>
        </w:tc>
      </w:tr>
      <w:tr w:rsidR="007E79ED" w:rsidRPr="007E79ED" w14:paraId="340BC2A2" w14:textId="77777777" w:rsidTr="00631B27">
        <w:trPr>
          <w:trHeight w:val="925"/>
        </w:trPr>
        <w:tc>
          <w:tcPr>
            <w:tcW w:w="741" w:type="dxa"/>
            <w:tcBorders>
              <w:bottom w:val="nil"/>
            </w:tcBorders>
            <w:vAlign w:val="center"/>
          </w:tcPr>
          <w:p w14:paraId="2D8582D1" w14:textId="061606C0" w:rsidR="007E79ED" w:rsidRPr="007E79ED" w:rsidRDefault="007E79ED" w:rsidP="007E79ED">
            <w:pPr>
              <w:keepLines/>
              <w:suppressLineNumbers/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1.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5F85CFF" w14:textId="58C458FE" w:rsidR="007E79ED" w:rsidRPr="007E79ED" w:rsidRDefault="007E79ED">
            <w:pPr>
              <w:keepLines/>
              <w:suppressLineNumbers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dva (2) ks hydraulické zařízení ke zjišťování vůlí náprav</w:t>
            </w:r>
            <w:r w:rsidDel="008D3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včetně </w:t>
            </w:r>
            <w:r w:rsidRPr="00B621EA">
              <w:rPr>
                <w:sz w:val="22"/>
                <w:szCs w:val="22"/>
              </w:rPr>
              <w:t> příslušenství</w:t>
            </w:r>
          </w:p>
        </w:tc>
        <w:tc>
          <w:tcPr>
            <w:tcW w:w="2316" w:type="dxa"/>
            <w:tcBorders>
              <w:bottom w:val="nil"/>
            </w:tcBorders>
            <w:vAlign w:val="center"/>
          </w:tcPr>
          <w:p w14:paraId="54149101" w14:textId="77777777" w:rsidR="007E79ED" w:rsidRPr="007E79ED" w:rsidRDefault="007E79ED" w:rsidP="007E79ED">
            <w:pPr>
              <w:keepLines/>
              <w:suppressLineNumbers/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sz w:val="22"/>
                <w:szCs w:val="22"/>
                <w:highlight w:val="cyan"/>
              </w:rPr>
              <w:t>[DOPLNÍ DODAVATEL]</w:t>
            </w:r>
          </w:p>
        </w:tc>
      </w:tr>
      <w:tr w:rsidR="007E79ED" w:rsidRPr="007E79ED" w14:paraId="2AE3DE80" w14:textId="77777777" w:rsidTr="00631B27">
        <w:trPr>
          <w:trHeight w:val="1410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2369093" w14:textId="5AE7BB35" w:rsidR="007E79ED" w:rsidRPr="007E79ED" w:rsidRDefault="007E79ED" w:rsidP="007E79ED">
            <w:pPr>
              <w:keepLines/>
              <w:suppressLineNumbers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</w:rPr>
              <w:t>2.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8BD3DAF" w14:textId="13107314" w:rsidR="007E79ED" w:rsidRPr="007E79ED" w:rsidRDefault="007E79ED">
            <w:pPr>
              <w:keepLines/>
              <w:suppressLineNumbers/>
              <w:rPr>
                <w:rFonts w:ascii="Garamond" w:eastAsia="Calibri" w:hAnsi="Garamond"/>
                <w:i/>
                <w:color w:val="00B0F0"/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dva (2) ks v</w:t>
            </w:r>
            <w:r w:rsidRPr="00CC5D8D">
              <w:rPr>
                <w:sz w:val="22"/>
                <w:szCs w:val="22"/>
              </w:rPr>
              <w:t>álcová zkušebna brzd</w:t>
            </w:r>
            <w:r>
              <w:rPr>
                <w:sz w:val="22"/>
                <w:szCs w:val="22"/>
              </w:rPr>
              <w:t xml:space="preserve"> včetně </w:t>
            </w:r>
            <w:r w:rsidRPr="00B621EA">
              <w:rPr>
                <w:sz w:val="22"/>
                <w:szCs w:val="22"/>
              </w:rPr>
              <w:t> příslušenství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6EF43D63" w14:textId="77777777" w:rsidR="007E79ED" w:rsidRPr="007E79ED" w:rsidRDefault="007E79ED" w:rsidP="007E79ED">
            <w:pPr>
              <w:keepLines/>
              <w:suppressLineNumbers/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sz w:val="22"/>
                <w:szCs w:val="22"/>
                <w:highlight w:val="cyan"/>
              </w:rPr>
              <w:t>[DOPLNÍ DODAVATEL]</w:t>
            </w:r>
          </w:p>
        </w:tc>
      </w:tr>
      <w:tr w:rsidR="007E79ED" w:rsidRPr="007E79ED" w:rsidDel="003C4B25" w14:paraId="1C5F8821" w14:textId="77777777" w:rsidTr="00631B27">
        <w:tc>
          <w:tcPr>
            <w:tcW w:w="741" w:type="dxa"/>
            <w:vAlign w:val="center"/>
          </w:tcPr>
          <w:p w14:paraId="02DB9EC2" w14:textId="7C21DE8F" w:rsidR="007E79ED" w:rsidRPr="007E79ED" w:rsidDel="003C4B25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</w:rPr>
              <w:t>3.</w:t>
            </w:r>
          </w:p>
        </w:tc>
        <w:tc>
          <w:tcPr>
            <w:tcW w:w="5953" w:type="dxa"/>
            <w:vAlign w:val="center"/>
          </w:tcPr>
          <w:p w14:paraId="3E662C2D" w14:textId="66CB2675" w:rsidR="007E79ED" w:rsidRPr="007E79ED" w:rsidDel="003C4B25" w:rsidRDefault="007E79ED">
            <w:pPr>
              <w:keepLines/>
              <w:suppressLineNumbers/>
              <w:spacing w:line="288" w:lineRule="auto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jeden (1) ks odsávání výfukových plynů včetně </w:t>
            </w:r>
            <w:r w:rsidRPr="00B621EA">
              <w:rPr>
                <w:sz w:val="22"/>
                <w:szCs w:val="22"/>
              </w:rPr>
              <w:t> příslušenství</w:t>
            </w:r>
          </w:p>
        </w:tc>
        <w:tc>
          <w:tcPr>
            <w:tcW w:w="2316" w:type="dxa"/>
            <w:vAlign w:val="center"/>
          </w:tcPr>
          <w:p w14:paraId="70B9A0ED" w14:textId="77777777" w:rsidR="007E79ED" w:rsidRPr="007E79ED" w:rsidDel="003C4B25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sz w:val="22"/>
                <w:szCs w:val="22"/>
                <w:highlight w:val="cyan"/>
              </w:rPr>
            </w:pPr>
            <w:r w:rsidRPr="007E79ED">
              <w:rPr>
                <w:rFonts w:ascii="Garamond" w:eastAsia="Calibri" w:hAnsi="Garamond"/>
                <w:sz w:val="22"/>
                <w:szCs w:val="22"/>
                <w:highlight w:val="cyan"/>
              </w:rPr>
              <w:t>[DOPLNÍ DODAVATEL]</w:t>
            </w:r>
          </w:p>
        </w:tc>
      </w:tr>
      <w:tr w:rsidR="007E79ED" w:rsidRPr="007E79ED" w14:paraId="2CCF0378" w14:textId="77777777" w:rsidTr="00631B27"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FA921FC" w14:textId="6B9032CE" w:rsidR="007E79ED" w:rsidRPr="007E79ED" w:rsidRDefault="007E79ED" w:rsidP="007E79ED">
            <w:pPr>
              <w:keepLines/>
              <w:suppressLineNumbers/>
              <w:spacing w:line="288" w:lineRule="auto"/>
              <w:ind w:left="66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</w:rPr>
              <w:t>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689C8FF" w14:textId="1AF82228" w:rsidR="007E79ED" w:rsidRPr="007E79ED" w:rsidRDefault="007E79ED" w:rsidP="007E79ED">
            <w:pPr>
              <w:keepLines/>
              <w:suppressLineNumbers/>
              <w:spacing w:line="288" w:lineRule="auto"/>
              <w:ind w:left="66"/>
              <w:rPr>
                <w:rFonts w:ascii="Garamond" w:eastAsia="Calibri" w:hAnsi="Garamond"/>
                <w:b/>
                <w:i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>CELKOVÁ CENA  = součet cen uvedených pod body 1,</w:t>
            </w:r>
            <w:r w:rsidR="000A62A3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>2,</w:t>
            </w:r>
            <w:r w:rsidR="000A62A3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>3,</w:t>
            </w:r>
            <w:r w:rsidRPr="007E79ED" w:rsidDel="00E52E26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r w:rsidRPr="007E79ED">
              <w:rPr>
                <w:rFonts w:ascii="Garamond" w:eastAsia="Calibri" w:hAnsi="Garamond"/>
                <w:b/>
                <w:sz w:val="22"/>
                <w:szCs w:val="22"/>
              </w:rPr>
              <w:t xml:space="preserve"> této tabulky.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EF08945" w14:textId="77777777" w:rsidR="007E79ED" w:rsidRPr="007E79ED" w:rsidRDefault="007E79ED" w:rsidP="007E79ED">
            <w:pPr>
              <w:keepLines/>
              <w:suppressLineNumbers/>
              <w:spacing w:line="288" w:lineRule="auto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7E79ED">
              <w:rPr>
                <w:rFonts w:ascii="Garamond" w:eastAsia="Calibri" w:hAnsi="Garamond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47AADBB7" w14:textId="77777777" w:rsidR="007E79ED" w:rsidRDefault="007E79ED" w:rsidP="00540FAF">
      <w:pPr>
        <w:pStyle w:val="rove2"/>
        <w:widowControl w:val="0"/>
        <w:numPr>
          <w:ilvl w:val="0"/>
          <w:numId w:val="0"/>
        </w:numPr>
        <w:spacing w:before="120" w:after="0"/>
        <w:ind w:left="432" w:hanging="432"/>
        <w:rPr>
          <w:sz w:val="22"/>
          <w:szCs w:val="22"/>
        </w:rPr>
      </w:pPr>
    </w:p>
    <w:p w14:paraId="5E36940A" w14:textId="77777777" w:rsidR="00823E00" w:rsidRPr="00877ED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5A14AD72" w14:textId="00A9471D" w:rsidR="00877EDA" w:rsidRPr="00204541" w:rsidRDefault="00877EDA" w:rsidP="00204541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204541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</w:t>
      </w:r>
      <w:r w:rsidR="00444410">
        <w:rPr>
          <w:i/>
          <w:color w:val="00B0F0"/>
          <w:sz w:val="22"/>
          <w:szCs w:val="22"/>
        </w:rPr>
        <w:t>y do bodu 1. až 4. výše uvedené tabulky</w:t>
      </w:r>
      <w:r>
        <w:rPr>
          <w:i/>
          <w:color w:val="00B0F0"/>
          <w:sz w:val="22"/>
          <w:szCs w:val="22"/>
        </w:rPr>
        <w:t>. Poté poznámku vymažte)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Výši kupní ceny lze zvýšit pouze v případě, pokud v průběhu plnění smlouvy dojde ke změnám 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</w:t>
      </w:r>
      <w:proofErr w:type="gramEnd"/>
      <w:r w:rsidRPr="00A05C47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5210C270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  <w:r w:rsidR="00714962" w:rsidRPr="00714962">
        <w:rPr>
          <w:sz w:val="22"/>
          <w:szCs w:val="22"/>
        </w:rPr>
        <w:t xml:space="preserve"> </w:t>
      </w:r>
      <w:r w:rsidR="00714962">
        <w:rPr>
          <w:sz w:val="22"/>
          <w:szCs w:val="22"/>
        </w:rPr>
        <w:t>Kopie dodacího listu (předávacího protokolu) bude přílohou faktury.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24B97D93" w:rsidR="00116001" w:rsidRPr="00116001" w:rsidRDefault="00714962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Dopravní podnik Ostrava a.s. preferuje zaslání faktury v elektronické podobě na adresu </w:t>
      </w:r>
      <w:hyperlink r:id="rId10" w:history="1">
        <w:r w:rsidRPr="00A061E8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116001">
        <w:rPr>
          <w:sz w:val="22"/>
          <w:szCs w:val="22"/>
        </w:rPr>
        <w:t xml:space="preserve">Faktura </w:t>
      </w:r>
      <w:r>
        <w:rPr>
          <w:sz w:val="22"/>
          <w:szCs w:val="22"/>
        </w:rPr>
        <w:t>musí</w:t>
      </w:r>
      <w:r w:rsidR="00116001">
        <w:rPr>
          <w:sz w:val="22"/>
          <w:szCs w:val="22"/>
        </w:rPr>
        <w:t xml:space="preserve"> být vystavena ve formátu PDF, podepsána zaručeným elektronickým podpisem nebo musí být jinak zabezpečena proti pozměnění</w:t>
      </w:r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</w:t>
      </w:r>
      <w:r w:rsidR="00F870BC" w:rsidRPr="00970B49">
        <w:rPr>
          <w:b/>
          <w:sz w:val="22"/>
          <w:szCs w:val="22"/>
        </w:rPr>
        <w:t>Poštou se pak faktura již nezasílá.</w:t>
      </w:r>
      <w:r w:rsidR="00F870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7EFC260" w14:textId="7DDEE2CB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7EDDD71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EC3F92">
        <w:rPr>
          <w:sz w:val="22"/>
          <w:szCs w:val="22"/>
        </w:rPr>
        <w:t xml:space="preserve">nejméně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>Funkční zkouška se uskuteční 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6F668A5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54FAFF24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 xml:space="preserve">údržbě, 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51C610F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 w:rsidR="009874AB">
        <w:rPr>
          <w:sz w:val="22"/>
          <w:szCs w:val="22"/>
        </w:rPr>
        <w:t>2</w:t>
      </w:r>
      <w:r w:rsidR="009874AB">
        <w:rPr>
          <w:sz w:val="22"/>
          <w:szCs w:val="22"/>
        </w:rPr>
        <w:t xml:space="preserve">x </w:t>
      </w:r>
      <w:r>
        <w:rPr>
          <w:sz w:val="22"/>
          <w:szCs w:val="22"/>
        </w:rPr>
        <w:t xml:space="preserve">v tištěné formě a </w:t>
      </w:r>
      <w:bookmarkStart w:id="0" w:name="_GoBack"/>
      <w:bookmarkEnd w:id="0"/>
      <w:r w:rsidR="009874AB">
        <w:rPr>
          <w:sz w:val="22"/>
          <w:szCs w:val="22"/>
        </w:rPr>
        <w:t>2</w:t>
      </w:r>
      <w:r w:rsidR="009874AB">
        <w:rPr>
          <w:sz w:val="22"/>
          <w:szCs w:val="22"/>
        </w:rPr>
        <w:t xml:space="preserve">x </w:t>
      </w:r>
      <w:r>
        <w:rPr>
          <w:sz w:val="22"/>
          <w:szCs w:val="22"/>
        </w:rPr>
        <w:t xml:space="preserve">na USB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77777777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172BEA">
        <w:rPr>
          <w:sz w:val="22"/>
          <w:szCs w:val="22"/>
        </w:rPr>
        <w:t>1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0151AEF9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Jakýkoliv požadavek na uznání reklamace musí kupující předložit prodávajícímu</w:t>
      </w:r>
      <w:r w:rsidR="0068519A">
        <w:rPr>
          <w:sz w:val="22"/>
          <w:szCs w:val="22"/>
        </w:rPr>
        <w:t xml:space="preserve"> v písemné formě</w:t>
      </w:r>
      <w:r w:rsidRPr="00A05C47">
        <w:rPr>
          <w:sz w:val="22"/>
          <w:szCs w:val="22"/>
        </w:rPr>
        <w:t xml:space="preserve"> s popisem vady</w:t>
      </w:r>
      <w:r w:rsidR="00EC3F92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a to </w:t>
      </w:r>
      <w:r w:rsidR="0068519A">
        <w:rPr>
          <w:sz w:val="22"/>
          <w:szCs w:val="22"/>
        </w:rPr>
        <w:t xml:space="preserve">bez zbytečného odkladu </w:t>
      </w:r>
      <w:r w:rsidRPr="00A05C47">
        <w:rPr>
          <w:sz w:val="22"/>
          <w:szCs w:val="22"/>
        </w:rPr>
        <w:t xml:space="preserve">po době, kdy závada na </w:t>
      </w:r>
      <w:r w:rsidR="00FB5C1B">
        <w:rPr>
          <w:sz w:val="22"/>
          <w:szCs w:val="22"/>
        </w:rPr>
        <w:t>zboží</w:t>
      </w:r>
      <w:r w:rsidR="00EC3F92">
        <w:rPr>
          <w:sz w:val="22"/>
          <w:szCs w:val="22"/>
        </w:rPr>
        <w:t xml:space="preserve"> </w:t>
      </w:r>
      <w:r w:rsidR="0068519A">
        <w:rPr>
          <w:sz w:val="22"/>
          <w:szCs w:val="22"/>
        </w:rPr>
        <w:t>objevil</w:t>
      </w:r>
      <w:r w:rsidR="00EC3F92">
        <w:rPr>
          <w:sz w:val="22"/>
          <w:szCs w:val="22"/>
        </w:rPr>
        <w:t>a</w:t>
      </w:r>
      <w:r w:rsidRPr="00A05C47">
        <w:rPr>
          <w:sz w:val="22"/>
          <w:szCs w:val="22"/>
        </w:rPr>
        <w:t xml:space="preserve">. V případě oprávněného nároku na reklamaci 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A05C47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742AFC76" w14:textId="77777777" w:rsidR="00743485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77777777" w:rsidR="00151F66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77777777" w:rsidR="00BD7C72" w:rsidRPr="00E70A4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3EA082F0" w14:textId="77777777" w:rsidR="00BB6E1A" w:rsidRPr="00A05C47" w:rsidRDefault="00BB6E1A" w:rsidP="00BB6E1A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Obecně platí, že jakékoliv nároky plynoucí z některé z poskytnutých garancí, uplatněné kupujícím vůči prodávajícímu, považují obě strany za oprávněné a platné, pokud prodávající neprokáže jejich </w:t>
      </w:r>
      <w:r w:rsidRPr="00A05C47">
        <w:rPr>
          <w:sz w:val="22"/>
          <w:szCs w:val="22"/>
        </w:rPr>
        <w:lastRenderedPageBreak/>
        <w:t>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6C0706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7777777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 xml:space="preserve">0,05 % z ceny předmětu plnění vč. 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70E750D2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>0,05</w:t>
      </w:r>
      <w:r w:rsidR="00102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z ceny předmětu plnění vč. 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>
        <w:rPr>
          <w:sz w:val="22"/>
          <w:szCs w:val="22"/>
        </w:rPr>
        <w:t>2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</w:t>
      </w:r>
      <w:r w:rsidR="006D34C6" w:rsidRPr="00237DF3">
        <w:rPr>
          <w:sz w:val="22"/>
          <w:szCs w:val="22"/>
        </w:rPr>
        <w:lastRenderedPageBreak/>
        <w:t>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77777777" w:rsidR="00A205F3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492E9D">
        <w:rPr>
          <w:sz w:val="22"/>
          <w:szCs w:val="22"/>
          <w:highlight w:val="cyan"/>
        </w:rPr>
        <w:t>…</w:t>
      </w:r>
      <w:r w:rsidR="00492E9D">
        <w:rPr>
          <w:sz w:val="22"/>
          <w:szCs w:val="22"/>
          <w:highlight w:val="cyan"/>
        </w:rPr>
        <w:t>……..</w:t>
      </w:r>
      <w:r w:rsidR="00BD1629" w:rsidRPr="00492E9D">
        <w:rPr>
          <w:sz w:val="22"/>
          <w:szCs w:val="22"/>
          <w:highlight w:val="cyan"/>
        </w:rPr>
        <w:t>…</w:t>
      </w:r>
    </w:p>
    <w:p w14:paraId="21CD9485" w14:textId="77777777" w:rsidR="006159A5" w:rsidRPr="00690BAE" w:rsidRDefault="006159A5" w:rsidP="00A205F3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i/>
          <w:color w:val="00B0F0"/>
          <w:sz w:val="22"/>
          <w:szCs w:val="22"/>
        </w:rPr>
        <w:t>(POZN.: doplní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vymaže)</w:t>
      </w:r>
      <w:r w:rsidRPr="00690BAE">
        <w:rPr>
          <w:sz w:val="22"/>
          <w:szCs w:val="22"/>
        </w:rPr>
        <w:t>.</w:t>
      </w:r>
    </w:p>
    <w:p w14:paraId="0A6C8BF6" w14:textId="77777777" w:rsidR="00E80518" w:rsidRDefault="00E8051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6F74FE6" w14:textId="77777777" w:rsidR="00E80518" w:rsidRDefault="00E8051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5DF4B74" w14:textId="77777777" w:rsidR="00E80518" w:rsidRDefault="00E8051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C481B06" w14:textId="04F421B9" w:rsidR="00AE7A16" w:rsidRDefault="006B621D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 w:rsidRPr="009F527D">
        <w:rPr>
          <w:sz w:val="22"/>
          <w:szCs w:val="22"/>
        </w:rPr>
        <w:t xml:space="preserve"> Základní po</w:t>
      </w:r>
      <w:r>
        <w:rPr>
          <w:sz w:val="22"/>
          <w:szCs w:val="22"/>
        </w:rPr>
        <w:t xml:space="preserve">žadavky k zajištění </w:t>
      </w:r>
      <w:r w:rsidRPr="009F527D">
        <w:rPr>
          <w:sz w:val="22"/>
          <w:szCs w:val="22"/>
        </w:rPr>
        <w:t>BOZP</w:t>
      </w:r>
    </w:p>
    <w:p w14:paraId="454163DC" w14:textId="73160BC9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A5E27">
        <w:rPr>
          <w:sz w:val="22"/>
          <w:szCs w:val="22"/>
        </w:rPr>
        <w:t>Vymezení o</w:t>
      </w:r>
      <w:r>
        <w:rPr>
          <w:sz w:val="22"/>
          <w:szCs w:val="22"/>
        </w:rPr>
        <w:t>bchodní</w:t>
      </w:r>
      <w:r w:rsidR="002A5E27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prodávajícího</w:t>
      </w:r>
    </w:p>
    <w:p w14:paraId="199B79FB" w14:textId="2FCF1B73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>Příloha č. 3</w:t>
      </w:r>
      <w:r w:rsidR="006F11DB">
        <w:rPr>
          <w:sz w:val="22"/>
          <w:szCs w:val="22"/>
        </w:rPr>
        <w:t>a</w:t>
      </w:r>
      <w:r w:rsidRPr="000B64F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DD2F51">
        <w:rPr>
          <w:sz w:val="22"/>
          <w:szCs w:val="22"/>
        </w:rPr>
        <w:t xml:space="preserve"> </w:t>
      </w:r>
      <w:r w:rsidR="0015028F">
        <w:rPr>
          <w:sz w:val="22"/>
          <w:szCs w:val="22"/>
        </w:rPr>
        <w:t>Hydraulické zařízení ke zjišťování vůlí náprav pro autobusy a trolejbusy</w:t>
      </w:r>
    </w:p>
    <w:p w14:paraId="08C95350" w14:textId="375CE751" w:rsidR="006F11DB" w:rsidRDefault="006F11DB" w:rsidP="006F11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>Příloha č. 3</w:t>
      </w:r>
      <w:r>
        <w:rPr>
          <w:sz w:val="22"/>
          <w:szCs w:val="22"/>
        </w:rPr>
        <w:t>b</w:t>
      </w:r>
      <w:r w:rsidRPr="000B64F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62C1B">
        <w:rPr>
          <w:sz w:val="22"/>
          <w:szCs w:val="22"/>
        </w:rPr>
        <w:t xml:space="preserve"> </w:t>
      </w:r>
      <w:r w:rsidR="0015028F" w:rsidRPr="00CC5D8D">
        <w:rPr>
          <w:sz w:val="22"/>
          <w:szCs w:val="22"/>
        </w:rPr>
        <w:t>Válcová zkušebna brzd včetně příslušenství</w:t>
      </w:r>
      <w:r w:rsidR="0015028F">
        <w:rPr>
          <w:sz w:val="22"/>
          <w:szCs w:val="22"/>
        </w:rPr>
        <w:t xml:space="preserve"> pro autobusy a trolejbusy</w:t>
      </w:r>
    </w:p>
    <w:p w14:paraId="70B17DB4" w14:textId="0222CE6B" w:rsidR="006F11DB" w:rsidRDefault="006F11DB" w:rsidP="006F11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>Příloha č. 3</w:t>
      </w:r>
      <w:r>
        <w:rPr>
          <w:sz w:val="22"/>
          <w:szCs w:val="22"/>
        </w:rPr>
        <w:t>c</w:t>
      </w:r>
      <w:r w:rsidRPr="000B64F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62C1B">
        <w:rPr>
          <w:sz w:val="22"/>
          <w:szCs w:val="22"/>
        </w:rPr>
        <w:t xml:space="preserve"> </w:t>
      </w:r>
      <w:r w:rsidR="0015028F">
        <w:rPr>
          <w:sz w:val="22"/>
          <w:szCs w:val="22"/>
        </w:rPr>
        <w:t>Odsávání výfukových plynů</w:t>
      </w:r>
      <w:r w:rsidR="0015028F" w:rsidRPr="00CC5D8D">
        <w:rPr>
          <w:sz w:val="22"/>
          <w:szCs w:val="22"/>
        </w:rPr>
        <w:t xml:space="preserve"> včetně příslušenství</w:t>
      </w:r>
      <w:r w:rsidR="0015028F">
        <w:rPr>
          <w:sz w:val="22"/>
          <w:szCs w:val="22"/>
        </w:rPr>
        <w:t xml:space="preserve"> pro pracoviště autobusy Hranečník</w:t>
      </w:r>
    </w:p>
    <w:p w14:paraId="36A7976D" w14:textId="77777777" w:rsidR="006F11DB" w:rsidRDefault="006F11DB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53BD109" w14:textId="56A342F5" w:rsidR="00E80518" w:rsidRDefault="00E8051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04C9974" w14:textId="4D198F3B" w:rsidR="00E80518" w:rsidRDefault="00E8051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898BA4D" w14:textId="77777777" w:rsidR="00E80518" w:rsidRDefault="00E8051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7AE9830A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540FAF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</w:t>
      </w:r>
      <w:proofErr w:type="gramStart"/>
      <w:r w:rsidR="00172BEA" w:rsidRPr="00A05C47">
        <w:rPr>
          <w:sz w:val="22"/>
          <w:szCs w:val="22"/>
        </w:rPr>
        <w:t>dne</w:t>
      </w:r>
      <w:proofErr w:type="gramEnd"/>
      <w:r w:rsidR="00172BEA" w:rsidRPr="00A05C47">
        <w:rPr>
          <w:sz w:val="22"/>
          <w:szCs w:val="22"/>
        </w:rPr>
        <w:t>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5B887AB9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</w:t>
      </w:r>
      <w:r w:rsidR="00540FAF">
        <w:rPr>
          <w:sz w:val="22"/>
          <w:szCs w:val="22"/>
        </w:rPr>
        <w:t>………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41D820A3" w14:textId="77777777" w:rsidR="0095097B" w:rsidRDefault="00A87E68" w:rsidP="00540FAF">
      <w:pPr>
        <w:pStyle w:val="rove2"/>
        <w:numPr>
          <w:ilvl w:val="0"/>
          <w:numId w:val="0"/>
        </w:numPr>
        <w:spacing w:after="0"/>
        <w:ind w:firstLine="709"/>
      </w:pPr>
      <w:r>
        <w:t>Tomáš Benda</w:t>
      </w:r>
      <w:r w:rsidR="00417D2F">
        <w:t xml:space="preserve"> </w:t>
      </w:r>
    </w:p>
    <w:p w14:paraId="1B68F3A5" w14:textId="77777777" w:rsidR="00A87E68" w:rsidRDefault="00A87E68" w:rsidP="0095097B">
      <w:pPr>
        <w:pStyle w:val="rove2"/>
        <w:numPr>
          <w:ilvl w:val="0"/>
          <w:numId w:val="0"/>
        </w:numPr>
        <w:spacing w:after="0"/>
        <w:ind w:left="432" w:hanging="432"/>
      </w:pPr>
      <w:r w:rsidRPr="00A05C47">
        <w:t xml:space="preserve">vedoucí </w:t>
      </w:r>
      <w:r>
        <w:t>odboru silniční vozidla</w:t>
      </w:r>
      <w:r w:rsidR="004F7242">
        <w:tab/>
      </w:r>
      <w:r w:rsidR="004F7242">
        <w:tab/>
      </w:r>
      <w:r w:rsidR="004F7242">
        <w:tab/>
      </w:r>
      <w:r w:rsidR="004F7242">
        <w:tab/>
      </w:r>
      <w:r w:rsidR="004F7242">
        <w:tab/>
      </w:r>
    </w:p>
    <w:p w14:paraId="63C80D3F" w14:textId="77777777" w:rsidR="009F527D" w:rsidRPr="009F527D" w:rsidRDefault="009F527D" w:rsidP="00AA6B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sectPr w:rsidR="009F527D" w:rsidRPr="009F527D" w:rsidSect="00A05C47">
      <w:headerReference w:type="default" r:id="rId11"/>
      <w:footerReference w:type="default" r:id="rId12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00A1FDF7" w:rsidR="004F1A09" w:rsidRDefault="004F1A09">
            <w:pPr>
              <w:pStyle w:val="Zpat"/>
              <w:jc w:val="center"/>
            </w:pPr>
            <w:proofErr w:type="gramStart"/>
            <w:r w:rsidRPr="00FB4B37">
              <w:rPr>
                <w:sz w:val="22"/>
                <w:szCs w:val="22"/>
              </w:rPr>
              <w:t xml:space="preserve">Stránka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9874AB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proofErr w:type="gramStart"/>
            <w:r w:rsidRPr="00FB4B37">
              <w:rPr>
                <w:sz w:val="22"/>
                <w:szCs w:val="22"/>
              </w:rPr>
              <w:t xml:space="preserve"> z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9874AB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0B7F"/>
    <w:multiLevelType w:val="multilevel"/>
    <w:tmpl w:val="36026142"/>
    <w:lvl w:ilvl="0">
      <w:start w:val="1"/>
      <w:numFmt w:val="upperRoman"/>
      <w:lvlText w:val="%1."/>
      <w:lvlJc w:val="left"/>
      <w:pPr>
        <w:ind w:left="3136" w:hanging="30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7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0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  <w:num w:numId="25">
    <w:abstractNumId w:val="8"/>
  </w:num>
  <w:num w:numId="26">
    <w:abstractNumId w:val="3"/>
  </w:num>
  <w:num w:numId="27">
    <w:abstractNumId w:val="3"/>
  </w:num>
  <w:num w:numId="28">
    <w:abstractNumId w:val="2"/>
  </w:num>
  <w:num w:numId="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ABD"/>
    <w:rsid w:val="0007533A"/>
    <w:rsid w:val="000758F6"/>
    <w:rsid w:val="00077190"/>
    <w:rsid w:val="00090536"/>
    <w:rsid w:val="00092410"/>
    <w:rsid w:val="00092AA6"/>
    <w:rsid w:val="00093B3C"/>
    <w:rsid w:val="0009414F"/>
    <w:rsid w:val="00097B4D"/>
    <w:rsid w:val="000A004A"/>
    <w:rsid w:val="000A1E5E"/>
    <w:rsid w:val="000A41C7"/>
    <w:rsid w:val="000A567E"/>
    <w:rsid w:val="000A62A3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F1128"/>
    <w:rsid w:val="000F3439"/>
    <w:rsid w:val="000F422A"/>
    <w:rsid w:val="000F5209"/>
    <w:rsid w:val="001011C2"/>
    <w:rsid w:val="00102187"/>
    <w:rsid w:val="00102E46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28F"/>
    <w:rsid w:val="001505E0"/>
    <w:rsid w:val="00150E68"/>
    <w:rsid w:val="00151F66"/>
    <w:rsid w:val="00152454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EA"/>
    <w:rsid w:val="002455C2"/>
    <w:rsid w:val="00245910"/>
    <w:rsid w:val="00246DDC"/>
    <w:rsid w:val="00247D55"/>
    <w:rsid w:val="00250902"/>
    <w:rsid w:val="00252632"/>
    <w:rsid w:val="00253B38"/>
    <w:rsid w:val="00253F2A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C7A24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60D1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81"/>
    <w:rsid w:val="003609EE"/>
    <w:rsid w:val="0036484C"/>
    <w:rsid w:val="00364D1D"/>
    <w:rsid w:val="003657A6"/>
    <w:rsid w:val="00366CB0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4410"/>
    <w:rsid w:val="00445612"/>
    <w:rsid w:val="00445A6D"/>
    <w:rsid w:val="0045127A"/>
    <w:rsid w:val="004525B7"/>
    <w:rsid w:val="00452757"/>
    <w:rsid w:val="00461196"/>
    <w:rsid w:val="00461288"/>
    <w:rsid w:val="004639A4"/>
    <w:rsid w:val="004675C1"/>
    <w:rsid w:val="004676AF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0FAF"/>
    <w:rsid w:val="00547C01"/>
    <w:rsid w:val="0055292A"/>
    <w:rsid w:val="00552CC1"/>
    <w:rsid w:val="00552CEF"/>
    <w:rsid w:val="00553754"/>
    <w:rsid w:val="00554593"/>
    <w:rsid w:val="005550E4"/>
    <w:rsid w:val="00562C1B"/>
    <w:rsid w:val="00566B25"/>
    <w:rsid w:val="00567D98"/>
    <w:rsid w:val="00567F93"/>
    <w:rsid w:val="005711CD"/>
    <w:rsid w:val="00572805"/>
    <w:rsid w:val="00574D13"/>
    <w:rsid w:val="005771F6"/>
    <w:rsid w:val="00577B70"/>
    <w:rsid w:val="005804F9"/>
    <w:rsid w:val="00586524"/>
    <w:rsid w:val="005910D4"/>
    <w:rsid w:val="0059693C"/>
    <w:rsid w:val="005978A9"/>
    <w:rsid w:val="005A3BC6"/>
    <w:rsid w:val="005A6844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2F2F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98F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20A8"/>
    <w:rsid w:val="006823E3"/>
    <w:rsid w:val="00682E7F"/>
    <w:rsid w:val="0068519A"/>
    <w:rsid w:val="00686627"/>
    <w:rsid w:val="00687595"/>
    <w:rsid w:val="00695722"/>
    <w:rsid w:val="00695DCC"/>
    <w:rsid w:val="006A680C"/>
    <w:rsid w:val="006A719F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72D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11DB"/>
    <w:rsid w:val="006F4091"/>
    <w:rsid w:val="006F6208"/>
    <w:rsid w:val="006F6B2B"/>
    <w:rsid w:val="006F6D0C"/>
    <w:rsid w:val="00710C31"/>
    <w:rsid w:val="00714962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0B21"/>
    <w:rsid w:val="0075229B"/>
    <w:rsid w:val="00752DC0"/>
    <w:rsid w:val="00753291"/>
    <w:rsid w:val="00756DF8"/>
    <w:rsid w:val="00770F67"/>
    <w:rsid w:val="0077481F"/>
    <w:rsid w:val="00777239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97A8A"/>
    <w:rsid w:val="007A2175"/>
    <w:rsid w:val="007A34EC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E79ED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32BC1"/>
    <w:rsid w:val="008424D9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0B49"/>
    <w:rsid w:val="0097544C"/>
    <w:rsid w:val="009763D2"/>
    <w:rsid w:val="00980BC6"/>
    <w:rsid w:val="00984298"/>
    <w:rsid w:val="00985EE0"/>
    <w:rsid w:val="009872A8"/>
    <w:rsid w:val="009874AB"/>
    <w:rsid w:val="00991E5B"/>
    <w:rsid w:val="00992377"/>
    <w:rsid w:val="00994CA2"/>
    <w:rsid w:val="0099590C"/>
    <w:rsid w:val="00995D12"/>
    <w:rsid w:val="00996190"/>
    <w:rsid w:val="009962AB"/>
    <w:rsid w:val="009A1B5F"/>
    <w:rsid w:val="009A1B8D"/>
    <w:rsid w:val="009A3C57"/>
    <w:rsid w:val="009A4076"/>
    <w:rsid w:val="009B109A"/>
    <w:rsid w:val="009B1EA1"/>
    <w:rsid w:val="009B40E2"/>
    <w:rsid w:val="009B4402"/>
    <w:rsid w:val="009C04E6"/>
    <w:rsid w:val="009C472A"/>
    <w:rsid w:val="009C6449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1FBA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37C4"/>
    <w:rsid w:val="00AA6BA8"/>
    <w:rsid w:val="00AB27C0"/>
    <w:rsid w:val="00AB3ED1"/>
    <w:rsid w:val="00AB5C7E"/>
    <w:rsid w:val="00AB6785"/>
    <w:rsid w:val="00AC2003"/>
    <w:rsid w:val="00AC3D00"/>
    <w:rsid w:val="00AC5739"/>
    <w:rsid w:val="00AC59B3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100CC"/>
    <w:rsid w:val="00B1272B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374D"/>
    <w:rsid w:val="00B53AA6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2CBE"/>
    <w:rsid w:val="00B9416A"/>
    <w:rsid w:val="00B9570A"/>
    <w:rsid w:val="00B96068"/>
    <w:rsid w:val="00BA0589"/>
    <w:rsid w:val="00BA272C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C5900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01712"/>
    <w:rsid w:val="00C164AD"/>
    <w:rsid w:val="00C167D2"/>
    <w:rsid w:val="00C20010"/>
    <w:rsid w:val="00C207B6"/>
    <w:rsid w:val="00C229DC"/>
    <w:rsid w:val="00C2475B"/>
    <w:rsid w:val="00C35734"/>
    <w:rsid w:val="00C4276F"/>
    <w:rsid w:val="00C42A71"/>
    <w:rsid w:val="00C432C3"/>
    <w:rsid w:val="00C44A4A"/>
    <w:rsid w:val="00C468D1"/>
    <w:rsid w:val="00C474A2"/>
    <w:rsid w:val="00C47676"/>
    <w:rsid w:val="00C47A85"/>
    <w:rsid w:val="00C5192F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5171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63CD"/>
    <w:rsid w:val="00CF1C3B"/>
    <w:rsid w:val="00CF54C5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2E"/>
    <w:rsid w:val="00D6627B"/>
    <w:rsid w:val="00D66555"/>
    <w:rsid w:val="00D66B57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A054C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2F51"/>
    <w:rsid w:val="00DD69A8"/>
    <w:rsid w:val="00DD7F08"/>
    <w:rsid w:val="00DE0520"/>
    <w:rsid w:val="00DE0BB2"/>
    <w:rsid w:val="00DE0D14"/>
    <w:rsid w:val="00DE26DD"/>
    <w:rsid w:val="00DE2F32"/>
    <w:rsid w:val="00DE4267"/>
    <w:rsid w:val="00DE60EA"/>
    <w:rsid w:val="00DF3284"/>
    <w:rsid w:val="00DF4769"/>
    <w:rsid w:val="00DF684B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0518"/>
    <w:rsid w:val="00E81CFF"/>
    <w:rsid w:val="00E83CD1"/>
    <w:rsid w:val="00E843D7"/>
    <w:rsid w:val="00E873A3"/>
    <w:rsid w:val="00E95164"/>
    <w:rsid w:val="00E951F2"/>
    <w:rsid w:val="00E95900"/>
    <w:rsid w:val="00E96A17"/>
    <w:rsid w:val="00EA36DA"/>
    <w:rsid w:val="00EA4DA4"/>
    <w:rsid w:val="00EB173A"/>
    <w:rsid w:val="00EB1A67"/>
    <w:rsid w:val="00EB22D5"/>
    <w:rsid w:val="00EB43B3"/>
    <w:rsid w:val="00EC3F92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642C"/>
    <w:rsid w:val="00FF08ED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  <w:style w:type="table" w:customStyle="1" w:styleId="Mkatabulky1">
    <w:name w:val="Mřížka tabulky1"/>
    <w:basedOn w:val="Normlntabulka"/>
    <w:next w:val="Mkatabulky"/>
    <w:rsid w:val="007E79ED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Jelinek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2728-033D-489A-A0A7-1C34084E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2589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2019-07-09T06:25:00Z</dcterms:created>
  <dcterms:modified xsi:type="dcterms:W3CDTF">2019-07-10T11:26:00Z</dcterms:modified>
</cp:coreProperties>
</file>