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  <w:bookmarkStart w:id="0" w:name="_GoBack"/>
      <w:bookmarkEnd w:id="0"/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9426DA" w:rsidRPr="00297130" w:rsidRDefault="009426DA" w:rsidP="009426DA">
      <w:pPr>
        <w:pStyle w:val="Zkladntext"/>
        <w:rPr>
          <w:szCs w:val="24"/>
        </w:rPr>
      </w:pPr>
      <w:r w:rsidRPr="00297130">
        <w:rPr>
          <w:szCs w:val="24"/>
        </w:rPr>
        <w:t xml:space="preserve">V Ostravě </w:t>
      </w:r>
      <w:proofErr w:type="gramStart"/>
      <w:r w:rsidRPr="00297130">
        <w:rPr>
          <w:szCs w:val="24"/>
        </w:rPr>
        <w:t>dne: ................…</w:t>
      </w:r>
      <w:proofErr w:type="gramEnd"/>
      <w:r w:rsidRPr="00297130">
        <w:rPr>
          <w:szCs w:val="24"/>
        </w:rPr>
        <w:t>…….</w:t>
      </w:r>
      <w:r w:rsidRPr="00297130">
        <w:rPr>
          <w:szCs w:val="24"/>
        </w:rPr>
        <w:tab/>
      </w:r>
      <w:r w:rsidRPr="00297130">
        <w:rPr>
          <w:szCs w:val="24"/>
        </w:rPr>
        <w:tab/>
      </w:r>
      <w:r w:rsidRPr="00297130">
        <w:rPr>
          <w:szCs w:val="24"/>
        </w:rPr>
        <w:tab/>
        <w:t>V</w:t>
      </w:r>
      <w:r>
        <w:rPr>
          <w:szCs w:val="24"/>
        </w:rPr>
        <w:t xml:space="preserve"> Ostravě </w:t>
      </w:r>
      <w:r w:rsidRPr="00297130">
        <w:rPr>
          <w:szCs w:val="24"/>
        </w:rPr>
        <w:t>dne: ……………………</w:t>
      </w:r>
    </w:p>
    <w:p w:rsidR="009426DA" w:rsidRPr="00A943F1" w:rsidRDefault="009426DA" w:rsidP="009426DA">
      <w:pPr>
        <w:pStyle w:val="odraky1"/>
        <w:ind w:left="567" w:hanging="567"/>
        <w:rPr>
          <w:sz w:val="16"/>
          <w:szCs w:val="16"/>
        </w:rPr>
      </w:pPr>
    </w:p>
    <w:p w:rsidR="009426DA" w:rsidRPr="00A943F1" w:rsidRDefault="009426DA" w:rsidP="009426DA">
      <w:pPr>
        <w:pStyle w:val="odraky1"/>
        <w:ind w:left="567" w:hanging="567"/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9426DA" w:rsidRPr="00297130" w:rsidTr="006E5A66">
        <w:trPr>
          <w:trHeight w:val="1100"/>
        </w:trPr>
        <w:tc>
          <w:tcPr>
            <w:tcW w:w="4889" w:type="dxa"/>
          </w:tcPr>
          <w:p w:rsidR="009426DA" w:rsidRPr="00297130" w:rsidRDefault="009426DA" w:rsidP="006E5A66">
            <w:pPr>
              <w:pStyle w:val="Zkladntext"/>
              <w:rPr>
                <w:szCs w:val="24"/>
              </w:rPr>
            </w:pPr>
            <w:r w:rsidRPr="00297130">
              <w:rPr>
                <w:szCs w:val="24"/>
              </w:rPr>
              <w:t xml:space="preserve">Za </w:t>
            </w:r>
            <w:r>
              <w:rPr>
                <w:szCs w:val="24"/>
              </w:rPr>
              <w:t>o</w:t>
            </w:r>
            <w:r w:rsidRPr="00297130">
              <w:rPr>
                <w:szCs w:val="24"/>
              </w:rPr>
              <w:t>bjednatele:</w:t>
            </w:r>
          </w:p>
          <w:p w:rsidR="009426DA" w:rsidRPr="00297130" w:rsidRDefault="009426DA" w:rsidP="006E5A66">
            <w:pPr>
              <w:pStyle w:val="Zkladntext"/>
              <w:rPr>
                <w:szCs w:val="24"/>
              </w:rPr>
            </w:pPr>
          </w:p>
          <w:p w:rsidR="009426DA" w:rsidRPr="00297130" w:rsidRDefault="009426DA" w:rsidP="006E5A66">
            <w:pPr>
              <w:pStyle w:val="Zkladntext"/>
              <w:rPr>
                <w:szCs w:val="24"/>
              </w:rPr>
            </w:pPr>
            <w:r w:rsidRPr="00297130">
              <w:rPr>
                <w:szCs w:val="24"/>
              </w:rPr>
              <w:t>...............................................................</w:t>
            </w:r>
          </w:p>
        </w:tc>
        <w:tc>
          <w:tcPr>
            <w:tcW w:w="4889" w:type="dxa"/>
          </w:tcPr>
          <w:p w:rsidR="009426DA" w:rsidRPr="00297130" w:rsidRDefault="009426DA" w:rsidP="006E5A66">
            <w:pPr>
              <w:pStyle w:val="Zkladntext"/>
              <w:ind w:left="73"/>
              <w:rPr>
                <w:szCs w:val="24"/>
              </w:rPr>
            </w:pPr>
            <w:r w:rsidRPr="00297130">
              <w:rPr>
                <w:szCs w:val="24"/>
              </w:rPr>
              <w:t xml:space="preserve">Za </w:t>
            </w:r>
            <w:r>
              <w:rPr>
                <w:szCs w:val="24"/>
              </w:rPr>
              <w:t>p</w:t>
            </w:r>
            <w:r w:rsidRPr="00297130">
              <w:rPr>
                <w:szCs w:val="24"/>
              </w:rPr>
              <w:t>oskytovatele:</w:t>
            </w:r>
          </w:p>
          <w:p w:rsidR="009426DA" w:rsidRPr="00297130" w:rsidRDefault="009426DA" w:rsidP="006E5A66">
            <w:pPr>
              <w:pStyle w:val="Zkladntext"/>
              <w:ind w:left="73"/>
              <w:rPr>
                <w:szCs w:val="24"/>
              </w:rPr>
            </w:pPr>
          </w:p>
          <w:p w:rsidR="009426DA" w:rsidRPr="00297130" w:rsidRDefault="009426DA" w:rsidP="006E5A66">
            <w:pPr>
              <w:pStyle w:val="Zkladntext"/>
              <w:ind w:left="73"/>
              <w:rPr>
                <w:szCs w:val="24"/>
              </w:rPr>
            </w:pPr>
            <w:r w:rsidRPr="00297130">
              <w:rPr>
                <w:szCs w:val="24"/>
              </w:rPr>
              <w:t>............................................................</w:t>
            </w:r>
          </w:p>
        </w:tc>
      </w:tr>
    </w:tbl>
    <w:p w:rsidR="0087779A" w:rsidRPr="0056468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87779A" w:rsidRPr="0056468A" w:rsidSect="004D009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43" w:rsidRDefault="00A46743" w:rsidP="00360830">
      <w:r>
        <w:separator/>
      </w:r>
    </w:p>
  </w:endnote>
  <w:endnote w:type="continuationSeparator" w:id="0">
    <w:p w:rsidR="00A46743" w:rsidRDefault="00A4674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24" w:rsidRDefault="00A4674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147E8">
              <w:fldChar w:fldCharType="begin"/>
            </w:r>
            <w:r w:rsidR="003147E8">
              <w:instrText>PAGE</w:instrText>
            </w:r>
            <w:r w:rsidR="003147E8">
              <w:fldChar w:fldCharType="separate"/>
            </w:r>
            <w:r w:rsidR="001D372C">
              <w:rPr>
                <w:noProof/>
              </w:rPr>
              <w:t>2</w:t>
            </w:r>
            <w:r w:rsidR="003147E8">
              <w:rPr>
                <w:noProof/>
              </w:rPr>
              <w:fldChar w:fldCharType="end"/>
            </w:r>
            <w:r w:rsidR="009A6B24" w:rsidRPr="00F539F2">
              <w:t>/</w:t>
            </w:r>
            <w:r w:rsidR="003147E8">
              <w:fldChar w:fldCharType="begin"/>
            </w:r>
            <w:r w:rsidR="003147E8">
              <w:instrText>NUMPAGES</w:instrText>
            </w:r>
            <w:r w:rsidR="003147E8">
              <w:fldChar w:fldCharType="separate"/>
            </w:r>
            <w:r w:rsidR="001D372C">
              <w:rPr>
                <w:noProof/>
              </w:rPr>
              <w:t>2</w:t>
            </w:r>
            <w:r w:rsidR="003147E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24" w:rsidRDefault="00A4674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147E8">
              <w:fldChar w:fldCharType="begin"/>
            </w:r>
            <w:r w:rsidR="003147E8">
              <w:instrText>PAGE</w:instrText>
            </w:r>
            <w:r w:rsidR="003147E8">
              <w:fldChar w:fldCharType="separate"/>
            </w:r>
            <w:r w:rsidR="001D372C">
              <w:rPr>
                <w:noProof/>
              </w:rPr>
              <w:t>1</w:t>
            </w:r>
            <w:r w:rsidR="003147E8">
              <w:rPr>
                <w:noProof/>
              </w:rPr>
              <w:fldChar w:fldCharType="end"/>
            </w:r>
            <w:r w:rsidR="009A6B24" w:rsidRPr="001526C2">
              <w:t>/</w:t>
            </w:r>
            <w:r w:rsidR="003147E8">
              <w:fldChar w:fldCharType="begin"/>
            </w:r>
            <w:r w:rsidR="003147E8">
              <w:instrText>NUMPAGES</w:instrText>
            </w:r>
            <w:r w:rsidR="003147E8">
              <w:fldChar w:fldCharType="separate"/>
            </w:r>
            <w:r w:rsidR="001D372C">
              <w:rPr>
                <w:noProof/>
              </w:rPr>
              <w:t>2</w:t>
            </w:r>
            <w:r w:rsidR="003147E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43" w:rsidRDefault="00A46743" w:rsidP="00360830">
      <w:r>
        <w:separator/>
      </w:r>
    </w:p>
  </w:footnote>
  <w:footnote w:type="continuationSeparator" w:id="0">
    <w:p w:rsidR="00A46743" w:rsidRDefault="00A4674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6DA" w:rsidRPr="0087779A" w:rsidRDefault="009426DA" w:rsidP="009426D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6484E61" wp14:editId="7EF3D625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</w:p>
  <w:p w:rsidR="009426DA" w:rsidRPr="007006B2" w:rsidRDefault="009426DA" w:rsidP="009426DA">
    <w:pPr>
      <w:pStyle w:val="Zhlav"/>
      <w:spacing w:after="0"/>
      <w:jc w:val="right"/>
      <w:rPr>
        <w:rFonts w:ascii="Times New Roman" w:hAnsi="Times New Roman" w:cs="Times New Roman"/>
        <w:sz w:val="24"/>
        <w:szCs w:val="24"/>
      </w:rPr>
    </w:pPr>
    <w:r w:rsidRPr="007006B2">
      <w:rPr>
        <w:rFonts w:ascii="Times New Roman" w:hAnsi="Times New Roman" w:cs="Times New Roman"/>
        <w:sz w:val="24"/>
        <w:szCs w:val="24"/>
      </w:rPr>
      <w:t xml:space="preserve">Příloha č. </w:t>
    </w:r>
    <w:r>
      <w:rPr>
        <w:rFonts w:ascii="Times New Roman" w:hAnsi="Times New Roman" w:cs="Times New Roman"/>
        <w:sz w:val="24"/>
        <w:szCs w:val="24"/>
      </w:rPr>
      <w:t>3</w:t>
    </w:r>
  </w:p>
  <w:p w:rsidR="009426DA" w:rsidRDefault="009426DA" w:rsidP="009426DA"/>
  <w:p w:rsidR="009A6B24" w:rsidRDefault="009A6B24" w:rsidP="00846A13">
    <w:pPr>
      <w:pStyle w:val="Zhlav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2C" w:rsidRDefault="001D372C">
    <w:pPr>
      <w:pStyle w:val="Zhlav"/>
    </w:pP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D372C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47E8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426DA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6743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77830"/>
    <w:rsid w:val="00BA5C9F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4B69"/>
    <w:rsid w:val="00D85B54"/>
    <w:rsid w:val="00D92C11"/>
    <w:rsid w:val="00D944C9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raky1">
    <w:name w:val="odražky1"/>
    <w:link w:val="odraky1Char"/>
    <w:rsid w:val="009426DA"/>
    <w:p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noProof/>
      <w:szCs w:val="20"/>
      <w:lang w:eastAsia="cs-CZ"/>
    </w:rPr>
  </w:style>
  <w:style w:type="character" w:customStyle="1" w:styleId="odraky1Char">
    <w:name w:val="odražky1 Char"/>
    <w:link w:val="odraky1"/>
    <w:rsid w:val="009426DA"/>
    <w:rPr>
      <w:rFonts w:ascii="Times New Roman" w:eastAsia="Times New Roman" w:hAnsi="Times New Roman" w:cs="Times New Roman"/>
      <w:noProof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raky1">
    <w:name w:val="odražky1"/>
    <w:link w:val="odraky1Char"/>
    <w:rsid w:val="009426DA"/>
    <w:p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noProof/>
      <w:szCs w:val="20"/>
      <w:lang w:eastAsia="cs-CZ"/>
    </w:rPr>
  </w:style>
  <w:style w:type="character" w:customStyle="1" w:styleId="odraky1Char">
    <w:name w:val="odražky1 Char"/>
    <w:link w:val="odraky1"/>
    <w:rsid w:val="009426DA"/>
    <w:rPr>
      <w:rFonts w:ascii="Times New Roman" w:eastAsia="Times New Roman" w:hAnsi="Times New Roman" w:cs="Times New Roman"/>
      <w:noProof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C6"/>
    <w:rsid w:val="003D169E"/>
    <w:rsid w:val="005762B5"/>
    <w:rsid w:val="0064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82C98BB50884ACDB488352B35069B88">
    <w:name w:val="382C98BB50884ACDB488352B35069B88"/>
    <w:rsid w:val="00641BC6"/>
  </w:style>
  <w:style w:type="paragraph" w:customStyle="1" w:styleId="41D82F48B8FA437DAD037E544E540E47">
    <w:name w:val="41D82F48B8FA437DAD037E544E540E47"/>
    <w:rsid w:val="005762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82C98BB50884ACDB488352B35069B88">
    <w:name w:val="382C98BB50884ACDB488352B35069B88"/>
    <w:rsid w:val="00641BC6"/>
  </w:style>
  <w:style w:type="paragraph" w:customStyle="1" w:styleId="41D82F48B8FA437DAD037E544E540E47">
    <w:name w:val="41D82F48B8FA437DAD037E544E540E47"/>
    <w:rsid w:val="00576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34BA-92F6-4A3C-A0DF-90828C30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Skyba Martin</cp:lastModifiedBy>
  <cp:revision>5</cp:revision>
  <cp:lastPrinted>2015-04-20T05:50:00Z</cp:lastPrinted>
  <dcterms:created xsi:type="dcterms:W3CDTF">2018-08-22T10:33:00Z</dcterms:created>
  <dcterms:modified xsi:type="dcterms:W3CDTF">2018-08-23T14:34:00Z</dcterms:modified>
</cp:coreProperties>
</file>