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703649">
        <w:rPr>
          <w:i w:val="0"/>
        </w:rPr>
        <w:t>7</w:t>
      </w:r>
      <w:bookmarkStart w:id="0" w:name="_GoBack"/>
      <w:bookmarkEnd w:id="0"/>
      <w:r w:rsidR="00FF054E" w:rsidRPr="00565A7F">
        <w:rPr>
          <w:i w:val="0"/>
        </w:rPr>
        <w:t xml:space="preserve">: </w:t>
      </w:r>
    </w:p>
    <w:p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/>
    <w:p w:rsidR="00C75EDA" w:rsidRPr="006A3013" w:rsidRDefault="00F23B4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70364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70364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70364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70364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_Toc12614803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70364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703649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_Toc12614805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:rsidR="0011203E" w:rsidRDefault="00F23B40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</w:t>
      </w:r>
      <w:proofErr w:type="gramStart"/>
      <w:r w:rsidR="00DA5F20" w:rsidRPr="00565A7F">
        <w:rPr>
          <w:sz w:val="22"/>
          <w:szCs w:val="22"/>
        </w:rPr>
        <w:t>používaní  systému</w:t>
      </w:r>
      <w:proofErr w:type="gramEnd"/>
      <w:r w:rsidR="00DA5F20" w:rsidRPr="00565A7F">
        <w:rPr>
          <w:sz w:val="22"/>
          <w:szCs w:val="22"/>
        </w:rPr>
        <w:t xml:space="preserve"> JOSEPHINE je nutné používat internetový prohlížeč Microsoft Internet Explorer verze 11.0 a vyšší. 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</w:r>
      <w:proofErr w:type="gramEnd"/>
      <w:r w:rsidR="000A51FA" w:rsidRPr="00565A7F">
        <w:rPr>
          <w:color w:val="auto"/>
          <w:sz w:val="22"/>
          <w:szCs w:val="22"/>
          <w:lang w:val="cs-CZ"/>
        </w:rPr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proofErr w:type="gramStart"/>
      <w:r w:rsidR="00C50A1F">
        <w:rPr>
          <w:sz w:val="22"/>
          <w:szCs w:val="22"/>
        </w:rPr>
        <w:t>JOSEPHINE</w:t>
      </w:r>
      <w:proofErr w:type="gramEnd"/>
      <w:r w:rsidR="00C50A1F">
        <w:rPr>
          <w:sz w:val="22"/>
          <w:szCs w:val="22"/>
        </w:rPr>
        <w:t xml:space="preserve">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4" w:name="_Toc12614802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1B07C7" w:rsidRPr="00565A7F">
          <w:rPr>
            <w:rStyle w:val="Hypertextovodkaz"/>
            <w:sz w:val="22"/>
            <w:szCs w:val="22"/>
          </w:rPr>
          <w:t>http://josephine.proebiz.com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.4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E6BF0" w:rsidRPr="00565A7F">
        <w:rPr>
          <w:sz w:val="22"/>
          <w:szCs w:val="22"/>
        </w:rPr>
        <w:t>.6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DA46B7" w:rsidRPr="00C40BA2">
        <w:rPr>
          <w:sz w:val="22"/>
          <w:szCs w:val="22"/>
        </w:rPr>
        <w:t>.7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D73960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4.8</w:t>
      </w:r>
      <w:r w:rsidRPr="00C40BA2">
        <w:rPr>
          <w:sz w:val="22"/>
          <w:szCs w:val="22"/>
        </w:rPr>
        <w:tab/>
      </w:r>
      <w:r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Pr="00C40BA2">
        <w:rPr>
          <w:sz w:val="22"/>
          <w:szCs w:val="22"/>
        </w:rPr>
        <w:t xml:space="preserve">účastník informován odesláním notifikačního mailu.  </w:t>
      </w:r>
    </w:p>
    <w:p w:rsidR="00A031E3" w:rsidRPr="00C40BA2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4F1241" w:rsidRPr="00C40BA2">
          <w:rPr>
            <w:rStyle w:val="Hypertextovodkaz"/>
            <w:sz w:val="22"/>
            <w:szCs w:val="22"/>
          </w:rPr>
          <w:t>http://josephine.proebiz.com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6E0D67" w:rsidRPr="00C40BA2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</w:t>
      </w:r>
      <w:proofErr w:type="gramStart"/>
      <w:r w:rsidR="000C0D00" w:rsidRPr="00C40BA2">
        <w:rPr>
          <w:sz w:val="22"/>
          <w:szCs w:val="22"/>
        </w:rPr>
        <w:t>účast</w:t>
      </w:r>
      <w:proofErr w:type="gramEnd"/>
      <w:r w:rsidR="000C0D00" w:rsidRPr="00C40BA2">
        <w:rPr>
          <w:sz w:val="22"/>
          <w:szCs w:val="22"/>
        </w:rPr>
        <w:t xml:space="preserve"> v již zavedeném systému DNS se považuje za podanou v okamžiku jejího doručení v systému JOSEPHINE.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6E0D67" w:rsidRPr="00C40BA2">
        <w:rPr>
          <w:sz w:val="22"/>
          <w:szCs w:val="22"/>
        </w:rPr>
        <w:t>.3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</w:t>
      </w:r>
      <w:r w:rsidR="00DA46B7" w:rsidRPr="00C40BA2">
        <w:rPr>
          <w:sz w:val="22"/>
          <w:szCs w:val="22"/>
        </w:rPr>
        <w:lastRenderedPageBreak/>
        <w:t>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5.5</w:t>
      </w:r>
      <w:r w:rsidRPr="00C40BA2">
        <w:rPr>
          <w:sz w:val="22"/>
          <w:szCs w:val="22"/>
        </w:rPr>
        <w:tab/>
      </w:r>
      <w:r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 xml:space="preserve">To neplatí v případě, že zadavatel umožní </w:t>
      </w:r>
      <w:r w:rsidR="00B231D6" w:rsidRPr="00C40BA2">
        <w:rPr>
          <w:sz w:val="22"/>
          <w:szCs w:val="22"/>
        </w:rPr>
        <w:lastRenderedPageBreak/>
        <w:t>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proofErr w:type="gramStart"/>
      <w:r w:rsidR="00005B8D" w:rsidRPr="00C40BA2">
        <w:rPr>
          <w:b/>
          <w:sz w:val="22"/>
          <w:szCs w:val="22"/>
        </w:rPr>
        <w:t>cenách  uvedených</w:t>
      </w:r>
      <w:proofErr w:type="gramEnd"/>
      <w:r w:rsidR="00005B8D" w:rsidRPr="00C40BA2">
        <w:rPr>
          <w:b/>
          <w:sz w:val="22"/>
          <w:szCs w:val="22"/>
        </w:rPr>
        <w:t xml:space="preserve">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 xml:space="preserve">k automatickému podání nabídky v této </w:t>
      </w:r>
      <w:proofErr w:type="gramStart"/>
      <w:r w:rsidR="001558FF" w:rsidRPr="00C40BA2">
        <w:rPr>
          <w:sz w:val="22"/>
          <w:szCs w:val="22"/>
        </w:rPr>
        <w:t>konkrétní  </w:t>
      </w:r>
      <w:r w:rsidR="008320C3" w:rsidRPr="00C40BA2">
        <w:rPr>
          <w:sz w:val="22"/>
          <w:szCs w:val="22"/>
        </w:rPr>
        <w:t>dílčí</w:t>
      </w:r>
      <w:proofErr w:type="gramEnd"/>
      <w:r w:rsidR="008320C3" w:rsidRPr="00C40BA2">
        <w:rPr>
          <w:sz w:val="22"/>
          <w:szCs w:val="22"/>
        </w:rPr>
        <w:t xml:space="preserve">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NAR marketing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823" w:rsidRDefault="00FF2823" w:rsidP="002075DA">
      <w:r>
        <w:separator/>
      </w:r>
    </w:p>
  </w:endnote>
  <w:endnote w:type="continuationSeparator" w:id="0">
    <w:p w:rsidR="00FF2823" w:rsidRDefault="00FF2823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7036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BA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823" w:rsidRDefault="00FF2823" w:rsidP="002075DA">
      <w:r>
        <w:separator/>
      </w:r>
    </w:p>
  </w:footnote>
  <w:footnote w:type="continuationSeparator" w:id="0">
    <w:p w:rsidR="00FF2823" w:rsidRDefault="00FF2823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960" w:rsidRDefault="00D73960">
    <w:pPr>
      <w:pStyle w:val="Zhlav"/>
      <w:rPr>
        <w:lang w:val="sk-SK"/>
      </w:rPr>
    </w:pP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A57D3"/>
    <w:rsid w:val="003C4DD5"/>
    <w:rsid w:val="003C750C"/>
    <w:rsid w:val="003C7B25"/>
    <w:rsid w:val="003E0C4C"/>
    <w:rsid w:val="003E7264"/>
    <w:rsid w:val="00401E3D"/>
    <w:rsid w:val="00402345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3649"/>
    <w:rsid w:val="00730D1E"/>
    <w:rsid w:val="007319BB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A27F2"/>
    <w:rsid w:val="008B036E"/>
    <w:rsid w:val="008B4603"/>
    <w:rsid w:val="008B6E4C"/>
    <w:rsid w:val="008C44E7"/>
    <w:rsid w:val="008D2993"/>
    <w:rsid w:val="00907A80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679B"/>
    <w:rsid w:val="009E50B2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7967"/>
    <w:rsid w:val="00A81C9F"/>
    <w:rsid w:val="00A83DBA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832D3"/>
    <w:rsid w:val="00E9297F"/>
    <w:rsid w:val="00EA2C30"/>
    <w:rsid w:val="00EC57E6"/>
    <w:rsid w:val="00EC7115"/>
    <w:rsid w:val="00ED1600"/>
    <w:rsid w:val="00ED5235"/>
    <w:rsid w:val="00ED649E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C4C68"/>
  <w15:docId w15:val="{924FB063-0C3E-413E-B6A4-54AEC12A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B014C-F3BB-48D7-AA4E-8A0E64F1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3423</Words>
  <Characters>20202</Characters>
  <Application>Microsoft Office Word</Application>
  <DocSecurity>4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Tendra1</cp:lastModifiedBy>
  <cp:revision>2</cp:revision>
  <dcterms:created xsi:type="dcterms:W3CDTF">2019-12-20T15:31:00Z</dcterms:created>
  <dcterms:modified xsi:type="dcterms:W3CDTF">2019-12-20T15:31:00Z</dcterms:modified>
</cp:coreProperties>
</file>