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224306">
        <w:rPr>
          <w:i/>
          <w:szCs w:val="22"/>
        </w:rPr>
        <w:t>zadávací dokumentace</w:t>
      </w:r>
      <w:bookmarkStart w:id="0" w:name="_GoBack"/>
      <w:bookmarkEnd w:id="0"/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B84CA9">
        <w:rPr>
          <w:b/>
          <w:szCs w:val="22"/>
        </w:rPr>
        <w:t>Dodání 1 ks nové lakovací podlahové kabiny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683E15">
        <w:rPr>
          <w:sz w:val="24"/>
          <w:szCs w:val="24"/>
        </w:rPr>
        <w:t>2</w:t>
      </w:r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306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4444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5D18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83E15"/>
    <w:rsid w:val="00695E4E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84CA9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2251A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9D7FBEE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CCE7A-CA3F-4726-AD91-0CAE908EB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46</cp:revision>
  <cp:lastPrinted>2011-01-11T13:57:00Z</cp:lastPrinted>
  <dcterms:created xsi:type="dcterms:W3CDTF">2017-11-21T10:56:00Z</dcterms:created>
  <dcterms:modified xsi:type="dcterms:W3CDTF">2020-01-17T08:03:00Z</dcterms:modified>
</cp:coreProperties>
</file>