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0A5C77FB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155FAD">
        <w:rPr>
          <w:i/>
          <w:szCs w:val="22"/>
        </w:rPr>
        <w:t>2</w:t>
      </w:r>
      <w:r w:rsidRPr="00B43FA6">
        <w:rPr>
          <w:i/>
          <w:szCs w:val="22"/>
        </w:rPr>
        <w:t xml:space="preserve"> – Vymezení obchodního tajemství prodávajícího</w:t>
      </w:r>
    </w:p>
    <w:p w14:paraId="2239BEBF" w14:textId="1CB2E86C" w:rsidR="001960F7" w:rsidRPr="00A308AE" w:rsidRDefault="005D7FC1" w:rsidP="001960F7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1C576407" w14:textId="64980C8C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57D7B">
        <w:t>DOD20191369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667FD3A6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3B2A51" w:rsidRPr="00DF4FDC">
        <w:rPr>
          <w:rFonts w:ascii="Times New Roman" w:hAnsi="Times New Roman" w:cs="Times New Roman"/>
          <w:b/>
          <w:sz w:val="24"/>
          <w:szCs w:val="24"/>
        </w:rPr>
        <w:t>2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68" w:rsidRPr="00DF4FDC">
        <w:rPr>
          <w:rFonts w:ascii="Times New Roman" w:hAnsi="Times New Roman" w:cs="Times New Roman"/>
          <w:b/>
          <w:sz w:val="24"/>
          <w:szCs w:val="24"/>
        </w:rPr>
        <w:t xml:space="preserve">Kupní 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>smlouvy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Vymezení obchodního tajemství </w:t>
      </w:r>
      <w:r w:rsidR="005E245A">
        <w:rPr>
          <w:rFonts w:ascii="Times New Roman" w:hAnsi="Times New Roman" w:cs="Times New Roman"/>
          <w:b/>
          <w:sz w:val="24"/>
          <w:szCs w:val="24"/>
        </w:rPr>
        <w:t>prodávajícího</w:t>
      </w:r>
    </w:p>
    <w:p w14:paraId="26E04E21" w14:textId="5E7D58C5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 xml:space="preserve">chce některé informace ze smlouvy včetně příloh chránit jako své obchodní tajemství, je povinen </w:t>
      </w:r>
      <w:r>
        <w:rPr>
          <w:i/>
          <w:iCs/>
          <w:sz w:val="22"/>
          <w:szCs w:val="22"/>
        </w:rPr>
        <w:t xml:space="preserve">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  <w:bookmarkStart w:id="0" w:name="_GoBack"/>
      <w:bookmarkEnd w:id="0"/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47364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A5DDA"/>
    <w:rsid w:val="001B3CDB"/>
    <w:rsid w:val="001B7338"/>
    <w:rsid w:val="001C2D66"/>
    <w:rsid w:val="001E4DD0"/>
    <w:rsid w:val="00205C43"/>
    <w:rsid w:val="0022495B"/>
    <w:rsid w:val="00230E86"/>
    <w:rsid w:val="00254492"/>
    <w:rsid w:val="00257D7B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C94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9ACC-B009-43F5-B713-162F5CB8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2020-01-27T08:28:00Z</dcterms:created>
  <dcterms:modified xsi:type="dcterms:W3CDTF">2020-01-27T12:28:00Z</dcterms:modified>
</cp:coreProperties>
</file>