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85" w:rsidRPr="008D4E97" w:rsidRDefault="00274985" w:rsidP="00274985">
      <w:pPr>
        <w:pStyle w:val="Zhlav"/>
        <w:tabs>
          <w:tab w:val="clear" w:pos="4536"/>
        </w:tabs>
        <w:rPr>
          <w:b/>
          <w:sz w:val="20"/>
          <w:szCs w:val="20"/>
        </w:rPr>
      </w:pPr>
      <w:bookmarkStart w:id="0" w:name="_Toc387092720"/>
      <w:bookmarkStart w:id="1" w:name="_GoBack"/>
      <w:bookmarkEnd w:id="1"/>
      <w:r w:rsidRPr="008D4E97">
        <w:rPr>
          <w:b/>
          <w:sz w:val="20"/>
          <w:szCs w:val="20"/>
        </w:rPr>
        <w:t>Příloha č. 3 ZD – Požadavky na vyhotovení Realizace pokrytí</w:t>
      </w:r>
    </w:p>
    <w:p w:rsidR="00274985" w:rsidRPr="008D4E97" w:rsidRDefault="00274985" w:rsidP="00274985">
      <w:pPr>
        <w:pStyle w:val="Podnadpis"/>
        <w:jc w:val="both"/>
        <w:rPr>
          <w:b w:val="0"/>
          <w:bCs w:val="0"/>
          <w:sz w:val="20"/>
          <w:szCs w:val="20"/>
        </w:rPr>
      </w:pPr>
      <w:r w:rsidRPr="008D4E97">
        <w:rPr>
          <w:b w:val="0"/>
          <w:sz w:val="20"/>
          <w:szCs w:val="20"/>
        </w:rPr>
        <w:t xml:space="preserve">Veřejná zakázka: </w:t>
      </w:r>
      <w:r w:rsidRPr="008D4E97">
        <w:rPr>
          <w:b w:val="0"/>
          <w:bCs w:val="0"/>
          <w:sz w:val="20"/>
          <w:szCs w:val="20"/>
        </w:rPr>
        <w:t>„</w:t>
      </w:r>
      <w:r w:rsidRPr="008D4E97">
        <w:rPr>
          <w:b w:val="0"/>
          <w:sz w:val="20"/>
          <w:szCs w:val="20"/>
        </w:rPr>
        <w:t>Vybudování zabezpečené WIFI sítě</w:t>
      </w:r>
      <w:r w:rsidRPr="008D4E97">
        <w:rPr>
          <w:b w:val="0"/>
          <w:bCs w:val="0"/>
          <w:sz w:val="20"/>
          <w:szCs w:val="20"/>
        </w:rPr>
        <w:t xml:space="preserve">“ </w:t>
      </w:r>
    </w:p>
    <w:p w:rsidR="00274985" w:rsidRPr="008D4E97" w:rsidRDefault="00274985" w:rsidP="00274985">
      <w:pPr>
        <w:spacing w:after="0"/>
        <w:rPr>
          <w:i/>
          <w:iCs/>
          <w:color w:val="00B0F0"/>
          <w:sz w:val="20"/>
          <w:szCs w:val="20"/>
          <w:lang w:eastAsia="cs-CZ"/>
        </w:rPr>
      </w:pPr>
      <w:r w:rsidRPr="008D4E97">
        <w:rPr>
          <w:sz w:val="20"/>
          <w:szCs w:val="20"/>
        </w:rPr>
        <w:t xml:space="preserve">Dodavatel:………….., IČO: …………………. </w:t>
      </w:r>
      <w:r w:rsidRPr="008D4E97">
        <w:rPr>
          <w:i/>
          <w:iCs/>
          <w:color w:val="00B0F0"/>
          <w:sz w:val="20"/>
          <w:szCs w:val="20"/>
        </w:rPr>
        <w:t>(Pozn.: Doplní dodavatel, poté poznámku vymaže.)</w:t>
      </w:r>
    </w:p>
    <w:p w:rsidR="00274985" w:rsidRDefault="00274985" w:rsidP="0043578B">
      <w:pPr>
        <w:rPr>
          <w:b/>
          <w:sz w:val="24"/>
        </w:rPr>
      </w:pPr>
    </w:p>
    <w:p w:rsidR="0043578B" w:rsidRPr="0074031A" w:rsidRDefault="0043578B" w:rsidP="0043578B">
      <w:pPr>
        <w:rPr>
          <w:b/>
          <w:sz w:val="24"/>
        </w:rPr>
      </w:pPr>
      <w:r w:rsidRPr="0074031A">
        <w:rPr>
          <w:b/>
          <w:sz w:val="24"/>
        </w:rPr>
        <w:t xml:space="preserve">Příloha č. 1 </w:t>
      </w:r>
      <w:r w:rsidR="00AE01F8">
        <w:rPr>
          <w:b/>
          <w:sz w:val="24"/>
        </w:rPr>
        <w:t xml:space="preserve">Smlouvy o dílo </w:t>
      </w:r>
      <w:r w:rsidRPr="0074031A">
        <w:rPr>
          <w:b/>
          <w:sz w:val="24"/>
        </w:rPr>
        <w:t xml:space="preserve">– </w:t>
      </w:r>
      <w:r w:rsidR="007F2D4F" w:rsidRPr="0074031A">
        <w:rPr>
          <w:b/>
          <w:sz w:val="24"/>
        </w:rPr>
        <w:t>Požadavky na vyhotovení Realizace pokrytí</w:t>
      </w:r>
    </w:p>
    <w:p w:rsidR="0043578B" w:rsidRPr="00E82E6C" w:rsidRDefault="0043578B" w:rsidP="00E82E6C">
      <w:pPr>
        <w:pStyle w:val="Nadpis1"/>
      </w:pPr>
      <w:r w:rsidRPr="00E82E6C">
        <w:t>Obecné požadavky</w:t>
      </w:r>
    </w:p>
    <w:p w:rsidR="0043578B" w:rsidRPr="00550AE7" w:rsidRDefault="0043578B" w:rsidP="0043578B">
      <w:pPr>
        <w:rPr>
          <w:rFonts w:ascii="Arial" w:hAnsi="Arial" w:cs="Arial"/>
        </w:rPr>
      </w:pP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 xml:space="preserve">Předmětem plnění veřejné zakázky je dodávka, instalace, konfigurace prvků bezdrátové sítě včetně dodání do místa plnění, zaškolení obsluhy a zajištění záručního </w:t>
      </w:r>
      <w:r w:rsidRPr="00FB1F4C">
        <w:rPr>
          <w:lang w:eastAsia="cs-CZ"/>
        </w:rPr>
        <w:t>servisu a podpory.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Součástí plnění je dodávka veškerého instalačního materiálu, optické, metalické a napájecí propojovací kabely a moduly, včetně dodávek potřebných materiálů a zařízení nezbytných pro řádné dokončení předmětu plnění a zajištění jeho provozuschopnosti. Součástí dodávky a instalace s konfigurací jsou všechny licence potřebné pro provoz a management celkového dodaného počtu všech prvků bezdrátové sítě. Nabízené technické řešení musí být plně kompatibilní se stávající počítačovou sítí Zadavatele.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Součástí plnění je úklid a odvoz všech obalů a dalších materiálů používaných při vlastní instalaci v souladu s ustanoveními zákona 185/2001 Sb., o odpadech, ve znění pozdějších předpisů z místa plnění.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Předmět plnění veřejné zakázky bude prováděn dle platných právních předpisů ČR a obecně závazných vyhlášek platných v místě realizace veřejné zakázky, dle ČSN EN a technických norem souvisejících s předmětem plnění.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 xml:space="preserve">Z důvodu požadavku na jednotný management bezdrátové sítě budou </w:t>
      </w:r>
      <w:r w:rsidR="00965F43" w:rsidRPr="00550AE7">
        <w:rPr>
          <w:lang w:eastAsia="cs-CZ"/>
        </w:rPr>
        <w:t>kontroléry</w:t>
      </w:r>
      <w:r w:rsidRPr="00550AE7">
        <w:rPr>
          <w:lang w:eastAsia="cs-CZ"/>
        </w:rPr>
        <w:t xml:space="preserve"> a Access</w:t>
      </w:r>
      <w:r w:rsidR="00965F43">
        <w:rPr>
          <w:lang w:eastAsia="cs-CZ"/>
        </w:rPr>
        <w:t xml:space="preserve"> </w:t>
      </w:r>
      <w:r w:rsidRPr="00550AE7">
        <w:rPr>
          <w:lang w:eastAsia="cs-CZ"/>
        </w:rPr>
        <w:t>Pointy pocházet od jednoho výrobce.</w:t>
      </w:r>
    </w:p>
    <w:p w:rsidR="007A095A" w:rsidRPr="00550AE7" w:rsidRDefault="00026DC4" w:rsidP="009C2B8B">
      <w:pPr>
        <w:rPr>
          <w:lang w:eastAsia="cs-CZ"/>
        </w:rPr>
      </w:pPr>
      <w:r>
        <w:rPr>
          <w:lang w:eastAsia="cs-CZ"/>
        </w:rPr>
        <w:t>Účastník</w:t>
      </w:r>
      <w:r w:rsidR="007A095A" w:rsidRPr="00550AE7">
        <w:rPr>
          <w:lang w:eastAsia="cs-CZ"/>
        </w:rPr>
        <w:t xml:space="preserve"> je povinen s dodávkou doložit oficiální potvrzení lokálního zastoupení výrobce o všech dodávaných zařízeních (seznam sériových čísel dodávaných zařízení)</w:t>
      </w:r>
      <w:r w:rsidR="00B4660F" w:rsidRPr="00550AE7">
        <w:rPr>
          <w:lang w:eastAsia="cs-CZ"/>
        </w:rPr>
        <w:t>, že jsou určeny</w:t>
      </w:r>
      <w:r w:rsidR="007A095A" w:rsidRPr="00550AE7">
        <w:rPr>
          <w:lang w:eastAsia="cs-CZ"/>
        </w:rPr>
        <w:t xml:space="preserve"> pro český trh.</w:t>
      </w:r>
    </w:p>
    <w:p w:rsidR="00031B70" w:rsidRDefault="007A095A" w:rsidP="009C2B8B">
      <w:pPr>
        <w:rPr>
          <w:lang w:eastAsia="cs-CZ"/>
        </w:rPr>
      </w:pPr>
      <w:r w:rsidRPr="00550AE7">
        <w:rPr>
          <w:lang w:eastAsia="cs-CZ"/>
        </w:rPr>
        <w:t xml:space="preserve">Je požadována záruka na hardware </w:t>
      </w:r>
      <w:r w:rsidR="00965F43" w:rsidRPr="00550AE7">
        <w:rPr>
          <w:lang w:eastAsia="cs-CZ"/>
        </w:rPr>
        <w:t>kontroléru</w:t>
      </w:r>
      <w:r w:rsidR="00B4660F" w:rsidRPr="00550AE7">
        <w:rPr>
          <w:lang w:eastAsia="cs-CZ"/>
        </w:rPr>
        <w:t xml:space="preserve"> </w:t>
      </w:r>
      <w:r w:rsidRPr="00550AE7">
        <w:rPr>
          <w:lang w:eastAsia="cs-CZ"/>
        </w:rPr>
        <w:t xml:space="preserve">s výměnou NBD v délce </w:t>
      </w:r>
      <w:r w:rsidR="00340231">
        <w:rPr>
          <w:lang w:eastAsia="cs-CZ"/>
        </w:rPr>
        <w:t xml:space="preserve">min. </w:t>
      </w:r>
      <w:r w:rsidR="00BA33FA" w:rsidRPr="00550AE7">
        <w:rPr>
          <w:lang w:eastAsia="cs-CZ"/>
        </w:rPr>
        <w:t>60</w:t>
      </w:r>
      <w:r w:rsidRPr="00550AE7">
        <w:rPr>
          <w:lang w:eastAsia="cs-CZ"/>
        </w:rPr>
        <w:t xml:space="preserve"> měsíců</w:t>
      </w:r>
      <w:r w:rsidR="00DA68CC">
        <w:rPr>
          <w:lang w:eastAsia="cs-CZ"/>
        </w:rPr>
        <w:t xml:space="preserve"> a </w:t>
      </w:r>
      <w:r w:rsidR="00031B70">
        <w:rPr>
          <w:lang w:eastAsia="cs-CZ"/>
        </w:rPr>
        <w:t>záruka na hardware ostatních komponent v</w:t>
      </w:r>
      <w:r w:rsidR="00340231">
        <w:rPr>
          <w:lang w:eastAsia="cs-CZ"/>
        </w:rPr>
        <w:t> </w:t>
      </w:r>
      <w:r w:rsidR="00031B70">
        <w:rPr>
          <w:lang w:eastAsia="cs-CZ"/>
        </w:rPr>
        <w:t>délce</w:t>
      </w:r>
      <w:r w:rsidR="00340231">
        <w:rPr>
          <w:lang w:eastAsia="cs-CZ"/>
        </w:rPr>
        <w:t xml:space="preserve"> min.</w:t>
      </w:r>
      <w:r w:rsidR="00031B70">
        <w:rPr>
          <w:lang w:eastAsia="cs-CZ"/>
        </w:rPr>
        <w:t xml:space="preserve"> </w:t>
      </w:r>
      <w:r w:rsidR="00031B70" w:rsidRPr="000B3E16">
        <w:rPr>
          <w:lang w:eastAsia="cs-CZ"/>
        </w:rPr>
        <w:t>36 měsíců</w:t>
      </w:r>
      <w:r w:rsidR="00031B70">
        <w:rPr>
          <w:lang w:eastAsia="cs-CZ"/>
        </w:rPr>
        <w:t>.</w:t>
      </w:r>
      <w:r w:rsidR="00340231" w:rsidRPr="00340231">
        <w:rPr>
          <w:lang w:eastAsia="cs-CZ"/>
        </w:rPr>
        <w:t xml:space="preserve"> </w:t>
      </w:r>
      <w:r w:rsidR="00340231" w:rsidRPr="00550AE7">
        <w:rPr>
          <w:lang w:eastAsia="cs-CZ"/>
        </w:rPr>
        <w:t>Tato záruka musí být garantovaná výrobcem zařízení.</w:t>
      </w:r>
    </w:p>
    <w:p w:rsidR="007A095A" w:rsidRPr="00E82E6C" w:rsidRDefault="007A095A" w:rsidP="00E82E6C">
      <w:pPr>
        <w:pStyle w:val="Nadpis1"/>
      </w:pPr>
      <w:r w:rsidRPr="00E82E6C">
        <w:t>Popis stávajícího stavu</w:t>
      </w:r>
    </w:p>
    <w:p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:rsidR="000F2537" w:rsidRPr="00550AE7" w:rsidRDefault="000F2537" w:rsidP="000E3D91">
      <w:r w:rsidRPr="00550AE7">
        <w:t>Stávající bezdrátová síť je složena z řídících prvků a bezdrátových přístupových bodů různých výrobců. Jednotlivé přístupové body jsou propojeny pomocí metalické kabeláže v interní síti, která je postavena na přepínačích CISCO: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>Cisco Catalyst 2960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>Cisco Catalyst 2950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lastRenderedPageBreak/>
        <w:t>Cisco Catalyst 3560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>Cisco Catalyst 3750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>Cisco Catalyst 3850</w:t>
      </w:r>
    </w:p>
    <w:p w:rsidR="000F2537" w:rsidRPr="00550AE7" w:rsidRDefault="000F2537" w:rsidP="000E3D91">
      <w:r w:rsidRPr="00550AE7">
        <w:t>Jednotlivé areály jsou propojeny optickými kabely a tvoří jednu interní síť.</w:t>
      </w:r>
    </w:p>
    <w:p w:rsidR="000F2537" w:rsidRPr="00550AE7" w:rsidRDefault="000F2537" w:rsidP="000E3D91">
      <w:r w:rsidRPr="00550AE7">
        <w:t>Budovy jsou umístěny v areálech DOPRAVNÍHO PODNIKU OSTRAVA a.s.: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budova ředitelství, Poděbradova 494/2,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 xml:space="preserve">areál tramvaje </w:t>
      </w:r>
      <w:r w:rsidRPr="009C2B8B">
        <w:t>Moravská</w:t>
      </w:r>
      <w:r w:rsidRPr="00550AE7">
        <w:rPr>
          <w:lang w:eastAsia="cs-CZ"/>
        </w:rPr>
        <w:t xml:space="preserve"> Ostrava, Plynární 3345/20,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tramvaje Poruba, U Vozovny 1115/3, 708 00 Ostrava – Poruba;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trolejbusy Ostrava, Sokolská 3243/64,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autobusy Hranečník, Počáteční 1962/36, Slezská Ostrava, 710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autobusy Poruba, Slavíkova 6229/27A, 708 00 Ostrava – Poruba;</w:t>
      </w:r>
    </w:p>
    <w:p w:rsidR="000B79DD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dílny Martinov, Martinovská 3293/40, 723 00 Ostrava – Martinov.</w:t>
      </w:r>
    </w:p>
    <w:p w:rsidR="007A095A" w:rsidRPr="00550AE7" w:rsidRDefault="007A095A" w:rsidP="007A095A">
      <w:pPr>
        <w:rPr>
          <w:rFonts w:ascii="Arial" w:hAnsi="Arial" w:cs="Arial"/>
        </w:rPr>
      </w:pPr>
    </w:p>
    <w:p w:rsidR="007A095A" w:rsidRPr="00550AE7" w:rsidRDefault="007A095A" w:rsidP="007A095A">
      <w:pPr>
        <w:rPr>
          <w:rFonts w:ascii="Arial" w:hAnsi="Arial" w:cs="Arial"/>
        </w:rPr>
      </w:pPr>
    </w:p>
    <w:p w:rsidR="0043578B" w:rsidRPr="00E82E6C" w:rsidRDefault="007A095A" w:rsidP="00E82E6C">
      <w:pPr>
        <w:pStyle w:val="Nadpis1"/>
      </w:pPr>
      <w:r w:rsidRPr="00E82E6C">
        <w:t>Požadované technické parametry zařízení</w:t>
      </w:r>
    </w:p>
    <w:p w:rsidR="00F70663" w:rsidRPr="00E82E6C" w:rsidRDefault="00E82E6C" w:rsidP="00E82E6C">
      <w:pPr>
        <w:pStyle w:val="Nadpis2"/>
      </w:pPr>
      <w:r w:rsidRPr="00E82E6C">
        <w:t>Wifi acces</w:t>
      </w:r>
      <w:r w:rsidR="006E15AA">
        <w:t>s</w:t>
      </w:r>
      <w:r w:rsidRPr="00E82E6C">
        <w:t xml:space="preserve"> point</w:t>
      </w:r>
    </w:p>
    <w:p w:rsidR="009A46EE" w:rsidRPr="00E82E6C" w:rsidRDefault="009C2B8B" w:rsidP="00E82E6C">
      <w:pPr>
        <w:pStyle w:val="Nadpis3"/>
      </w:pPr>
      <w:r w:rsidRPr="00E82E6C">
        <w:t>Wifi access point</w:t>
      </w:r>
      <w:r w:rsidR="00E82E6C" w:rsidRPr="00E82E6C">
        <w:t xml:space="preserve"> vnitřní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2439"/>
        <w:gridCol w:w="1317"/>
      </w:tblGrid>
      <w:tr w:rsidR="00F70663" w:rsidRPr="000E3D91" w:rsidTr="009C2B8B">
        <w:trPr>
          <w:cantSplit/>
          <w:tblHeader/>
        </w:trPr>
        <w:tc>
          <w:tcPr>
            <w:tcW w:w="5316" w:type="dxa"/>
            <w:shd w:val="clear" w:color="auto" w:fill="BFBFBF"/>
          </w:tcPr>
          <w:p w:rsidR="00F70663" w:rsidRPr="000E3D91" w:rsidRDefault="00F70663" w:rsidP="0059389E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39" w:type="dxa"/>
            <w:shd w:val="clear" w:color="auto" w:fill="BFBFBF"/>
          </w:tcPr>
          <w:p w:rsidR="00F70663" w:rsidRDefault="00F70663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17" w:type="dxa"/>
            <w:shd w:val="clear" w:color="auto" w:fill="BFBFBF"/>
          </w:tcPr>
          <w:p w:rsidR="00F70663" w:rsidRPr="000C17EC" w:rsidRDefault="000C17EC" w:rsidP="000C17EC">
            <w:pPr>
              <w:jc w:val="left"/>
              <w:rPr>
                <w:rStyle w:val="Siln"/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Třída zařízení - Vnitřní AP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Typ antén inte</w:t>
            </w:r>
            <w:r w:rsidR="009A46EE" w:rsidRPr="00550AE7">
              <w:t>r</w:t>
            </w:r>
            <w:r w:rsidRPr="00550AE7">
              <w:t>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Access Point vybavený radiem pro 2,4 a 5 GHz pásmo, podpora standardu 802.11a/b/g/n/ac wave 2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B131AD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B131AD" w:rsidRPr="00550AE7" w:rsidRDefault="00B131AD" w:rsidP="000E3D91">
            <w:r w:rsidRPr="00B131AD">
              <w:t>Radiová část: dual band, současná podpora pásem 2,4GHz a 5GHz</w:t>
            </w:r>
          </w:p>
        </w:tc>
        <w:tc>
          <w:tcPr>
            <w:tcW w:w="2439" w:type="dxa"/>
            <w:shd w:val="clear" w:color="auto" w:fill="auto"/>
          </w:tcPr>
          <w:p w:rsidR="00B131AD" w:rsidRPr="00550AE7" w:rsidRDefault="00B131AD" w:rsidP="000E3D91"/>
        </w:tc>
        <w:tc>
          <w:tcPr>
            <w:tcW w:w="1317" w:type="dxa"/>
            <w:shd w:val="clear" w:color="auto" w:fill="auto"/>
          </w:tcPr>
          <w:p w:rsidR="00B131AD" w:rsidRPr="00550AE7" w:rsidRDefault="00B131AD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Podpora minimálně 3x3 MIMO, MU-MIMO a až 80 MHz kanál pro 802.11ac w2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Minimální počet inzerovaných SSID (BSSID) per radio 8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1x 10/100/1000 Ethernet rozhraní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Nastavitelný DTIM interval (Delivery Traffic Indication Message) pro jednotlivé WLAN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Mapování SSID do různých VLAN podle IEEE 802.1Q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lastRenderedPageBreak/>
              <w:t>Přenosová rychlost v pásmu 5 GHz min. 867 Mbps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B131AD" w:rsidP="000E3D91">
            <w:r w:rsidRPr="00B131AD">
              <w:t>Podpora přímého přístupu na příkazovou řádku AP přes serial konzoli nebo přes IP</w:t>
            </w:r>
            <w:r>
              <w:t>v4 a IPv6 pomocí Telnet nebo SSH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Možnost napájení z 802.3af nebo at PoE injectoru 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Vypínatelné indikační LED diody informující o stavu zařízení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Pracovní režim AP řízené kontrolérem (lightweight)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B131AD" w:rsidP="000E3D91">
            <w:r w:rsidRPr="00B131AD">
              <w:t>Access Point určený pro instalaci na strop/podhled, součástí je montážní příslušenství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bookmarkEnd w:id="0"/>
    </w:tbl>
    <w:p w:rsidR="00F70663" w:rsidRPr="00550AE7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:rsidR="00F70663" w:rsidRPr="009C2B8B" w:rsidRDefault="00F70663" w:rsidP="009C2B8B">
      <w:pPr>
        <w:pStyle w:val="Nadpis3"/>
        <w:rPr>
          <w:rFonts w:eastAsia="Calibri"/>
        </w:rPr>
      </w:pPr>
      <w:r w:rsidRPr="009C2B8B">
        <w:rPr>
          <w:rFonts w:eastAsia="Calibri"/>
        </w:rPr>
        <w:t>Wifi acces</w:t>
      </w:r>
      <w:r w:rsidR="009C2B8B">
        <w:rPr>
          <w:rFonts w:eastAsia="Calibri"/>
        </w:rPr>
        <w:t>s</w:t>
      </w:r>
      <w:r w:rsidRPr="009C2B8B">
        <w:rPr>
          <w:rFonts w:eastAsia="Calibri"/>
        </w:rPr>
        <w:t xml:space="preserve"> point</w:t>
      </w:r>
      <w:r w:rsidR="00E82E6C">
        <w:rPr>
          <w:rFonts w:eastAsia="Calibri"/>
        </w:rPr>
        <w:t xml:space="preserve"> speciální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0E3D91" w:rsidTr="009C2B8B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Třída zařízení - Vnitřní AP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AP uzavřené konstrukce, bez větracích otvorů a ventilátoru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Typ antén inte</w:t>
            </w:r>
            <w:r w:rsidR="00B131AD">
              <w:t>r</w:t>
            </w:r>
            <w:r>
              <w:t>ní</w:t>
            </w:r>
            <w:r w:rsidR="00B131AD">
              <w:t xml:space="preserve"> pro obě pásma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bezdrátových standardů: 802.11a/b/g/n, 802.11ac wave2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standardů 802.11a/b/g/n a 802.11ac wave 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4x4 MIMO, podpora MU-MIMO, až 160 MHz kanál pro 802.11ac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860107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860107" w:rsidRPr="001A01D4" w:rsidRDefault="00860107" w:rsidP="00B131AD">
            <w:r w:rsidRPr="00860107">
              <w:t>Minimální počet inzerovaných SSID (BSSID) per radio</w:t>
            </w:r>
            <w:r>
              <w:t xml:space="preserve"> 8 </w:t>
            </w:r>
          </w:p>
        </w:tc>
        <w:tc>
          <w:tcPr>
            <w:tcW w:w="2405" w:type="dxa"/>
            <w:shd w:val="clear" w:color="auto" w:fill="auto"/>
          </w:tcPr>
          <w:p w:rsidR="00860107" w:rsidRPr="00550AE7" w:rsidRDefault="00860107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860107" w:rsidRPr="00550AE7" w:rsidRDefault="00860107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B131AD">
            <w:r w:rsidRPr="001A01D4">
              <w:t>Dvě rádia pracující v režimu 2,4 a 5 GHz pro standardní prostředí nebo duální 5 GHz pro HD nasazení, možnost provozovat AP v monitorovacím režimu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>Podpora detekce a monitorování problémů WLAN odchytáváním provozu na AP a jeho zasíláním do Ethernetového analyzátoru (např. Wireshark)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standardů IEEE 802.3af (PoE) a IEEE 802.3at (PoE+)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2x 10/100/1000 Ethernet rozhraní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Default="00A3659E" w:rsidP="000E3D91">
            <w:r w:rsidRPr="00A3659E">
              <w:t>Hardware filtry pro filtraci intermodulačního rušením pocházejícím z mobilních sítí (Advanced Cellular Coexistence nebo obdobné)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Vypínatelné indikační LED diody informující o stavu zařízení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Band Steering či obdobné (prioritizace 5GHz pásma v případě je-li podporováno)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>Podpora spektrální analýzy v pásmech 2,4GHz a 5GHz (detekce zdroje rušivého signálu – interference)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>Podpora přímého přístupu na příkazovou řádku AP přes serial konzoli nebo přes IPv4 a IPv6 pomocí Telnet nebo SSH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1A01D4" w:rsidRDefault="001A01D4" w:rsidP="000E3D91">
            <w:r w:rsidRPr="001A01D4">
              <w:t>Napájení AP pomocí PoE dle standardu 802.3at  bez nutnosti redukce výkonu 5GHz rádia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1A01D4" w:rsidRDefault="001A01D4" w:rsidP="000E3D91">
            <w:r w:rsidRPr="001A01D4">
              <w:t>Access Point určený pro instalaci na strop/podhled, součástí je montážní příslušenství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F70663" w:rsidRPr="00550AE7" w:rsidRDefault="00F70663" w:rsidP="00F70663">
      <w:pPr>
        <w:rPr>
          <w:rFonts w:ascii="Arial" w:hAnsi="Arial" w:cs="Arial"/>
        </w:rPr>
      </w:pPr>
    </w:p>
    <w:p w:rsidR="009C2B8B" w:rsidRPr="009C2B8B" w:rsidRDefault="009C2B8B" w:rsidP="00E82E6C">
      <w:pPr>
        <w:pStyle w:val="Nadpis3"/>
        <w:rPr>
          <w:rFonts w:eastAsia="Calibri"/>
        </w:rPr>
      </w:pPr>
      <w:r w:rsidRPr="009C2B8B">
        <w:rPr>
          <w:rFonts w:eastAsia="Calibri"/>
        </w:rPr>
        <w:t xml:space="preserve">Wifi access point </w:t>
      </w:r>
      <w:r w:rsidR="00E82E6C" w:rsidRPr="00E82E6C">
        <w:rPr>
          <w:rFonts w:eastAsia="Calibri"/>
        </w:rPr>
        <w:t>802.11ax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550AE7" w:rsidTr="00E82776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C2B8B" w:rsidRPr="00550AE7" w:rsidTr="00C67F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Třída zařízení - Vnitřní AP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C67F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AP uzavřené konstrukce, bez větracích otvorů a ventilátoru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Typ antén intení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bezdrátových standardů: 802.11a/b/g/n, 802.11ac wave2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3C3DBA" w:rsidRPr="00550AE7" w:rsidTr="001F4232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3C3DBA" w:rsidRDefault="003C3DBA" w:rsidP="001F4232">
            <w:r>
              <w:t>Podpora standardů 802.11a/b/g/n a 802.11ac wave 2</w:t>
            </w:r>
          </w:p>
        </w:tc>
        <w:tc>
          <w:tcPr>
            <w:tcW w:w="2405" w:type="dxa"/>
            <w:shd w:val="clear" w:color="auto" w:fill="auto"/>
          </w:tcPr>
          <w:p w:rsidR="003C3DBA" w:rsidRPr="00550AE7" w:rsidRDefault="003C3DBA" w:rsidP="001F423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3C3DBA" w:rsidRPr="00550AE7" w:rsidRDefault="003C3DBA" w:rsidP="001F4232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3C3DBA" w:rsidP="000E3D91">
            <w:r>
              <w:rPr>
                <w:lang w:eastAsia="cs-CZ"/>
              </w:rPr>
              <w:t xml:space="preserve">Certifikace </w:t>
            </w:r>
            <w:r w:rsidRPr="003C3DBA">
              <w:rPr>
                <w:lang w:eastAsia="cs-CZ"/>
              </w:rPr>
              <w:t>dle standardu IEEE 802.11ax</w:t>
            </w:r>
            <w:r>
              <w:rPr>
                <w:lang w:eastAsia="cs-CZ"/>
              </w:rPr>
              <w:t xml:space="preserve"> - </w:t>
            </w:r>
            <w:r w:rsidRPr="003C3DBA">
              <w:rPr>
                <w:lang w:eastAsia="cs-CZ"/>
              </w:rPr>
              <w:t>Wi-Fi CERTIFIED 6</w:t>
            </w:r>
            <w:r>
              <w:rPr>
                <w:lang w:eastAsia="cs-CZ"/>
              </w:rPr>
              <w:t>.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4x4 MIMO, podpora MU-MIMO, až 160 MHz kanál pro 802.11ac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Dvě rádia pracující v režimu 2,4 a 5 GHz pro standardní prostředí nebo duální 5 GHz pro HD nasazení, možnost statické i dynamické volby režimu, možnost provozovat AP v monitorovacím režimu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detekce a monitorování problémů WLAN odchytáváním provozu na AP a jeho zasíláním do Ethernetového analyzátoru (např. Wireshark)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standardů IEEE 802.3af (PoE) a IEEE 802.3at (PoE+)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2x 10/100/1000 Ethernet rozhraní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Vypínatelné indikační LED diody informující o stavu zařízení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Band Steering či obdobné (prioritizace 5GHz pásma v případě je-li podporováno)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spektrální analýzy v pásmech 2,4GHz a 5GHz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přímého přístupu na příkazovou řádku AP přes serial konzoli a přes IPv4 a IPv6 pomocí Telnet a SSH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9C2B8B" w:rsidRPr="009C2B8B" w:rsidRDefault="009C2B8B" w:rsidP="009C2B8B"/>
    <w:p w:rsidR="009A46EE" w:rsidRPr="009C2B8B" w:rsidRDefault="00E82E6C" w:rsidP="009C2B8B">
      <w:pPr>
        <w:pStyle w:val="Nadpis3"/>
        <w:rPr>
          <w:rFonts w:eastAsia="Calibri"/>
        </w:rPr>
      </w:pPr>
      <w:r w:rsidRPr="009C2B8B">
        <w:rPr>
          <w:rFonts w:eastAsia="Calibri"/>
        </w:rPr>
        <w:t xml:space="preserve">Wifi access point </w:t>
      </w:r>
      <w:r>
        <w:rPr>
          <w:rFonts w:eastAsia="Calibri"/>
        </w:rPr>
        <w:t>p</w:t>
      </w:r>
      <w:r w:rsidR="009A46EE" w:rsidRPr="009C2B8B">
        <w:rPr>
          <w:rFonts w:eastAsia="Calibri"/>
        </w:rPr>
        <w:t>řenosný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550AE7" w:rsidTr="00550AE7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</w:tcPr>
          <w:p w:rsidR="009A46EE" w:rsidRPr="00550AE7" w:rsidRDefault="009A46EE" w:rsidP="000E3D91">
            <w:r w:rsidRPr="00550AE7">
              <w:t>Třída zařízení: indoor přístupový bod</w:t>
            </w:r>
            <w:r w:rsidR="001A01D4">
              <w:t>-kompaktní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</w:tcPr>
          <w:p w:rsidR="009A46EE" w:rsidRPr="00550AE7" w:rsidRDefault="009A46EE" w:rsidP="000E3D91">
            <w:r w:rsidRPr="00550AE7">
              <w:t>Uzavřená konstrukce bez ventilátorů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Access Point vybavený radiem pro 2,4 a 5 GHz pásmo, podpora standardu 802.11a/b/g/n/ac wave 2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8407A7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Pracovní režim AP bez kontroléru (autonomní)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Pracovní režim AP řízené kontrolérem (lightweight)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USB port s podporou 3G/4G USB modemu jako WAN uplink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DHCP server, směrování a NAT pro bezdrátové klienty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AP v režimu IPSec VPN klient s možností tvorby L2 či L3 VPN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CLI formou serial konsole port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1A01D4">
            <w:r>
              <w:t>Minimální počet portů ethernet LAN: 4x 100/1000 Mbit/s RJ45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0E3D91">
            <w:r>
              <w:t>Podpora napájení z AC napájecího zdroje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0E3D91">
            <w:r>
              <w:t>Podpora spektrální analýzy v pásmech 2,4GHz a 5GHz (detekce zdroje rušivého signálu – interference)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9A46EE" w:rsidRPr="00550AE7" w:rsidRDefault="009A46EE" w:rsidP="009A46EE">
      <w:pPr>
        <w:rPr>
          <w:rFonts w:ascii="Arial" w:hAnsi="Arial" w:cs="Arial"/>
          <w:b/>
        </w:rPr>
      </w:pPr>
    </w:p>
    <w:p w:rsidR="00F70663" w:rsidRPr="009C2B8B" w:rsidRDefault="00F70663" w:rsidP="009C2B8B">
      <w:pPr>
        <w:pStyle w:val="Nadpis2"/>
      </w:pPr>
      <w:r w:rsidRPr="009C2B8B">
        <w:t>Wifi acces</w:t>
      </w:r>
      <w:r w:rsidR="006E15AA">
        <w:t>s</w:t>
      </w:r>
      <w:r w:rsidRPr="009C2B8B">
        <w:t xml:space="preserve"> point </w:t>
      </w:r>
      <w:r w:rsidR="004242BF" w:rsidRPr="009C2B8B">
        <w:t>venkovní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2189"/>
        <w:gridCol w:w="1279"/>
      </w:tblGrid>
      <w:tr w:rsidR="000C17EC" w:rsidRPr="00550AE7" w:rsidTr="000C17EC">
        <w:trPr>
          <w:cantSplit/>
          <w:tblHeader/>
        </w:trPr>
        <w:tc>
          <w:tcPr>
            <w:tcW w:w="5604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189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279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pPr>
              <w:rPr>
                <w:rFonts w:eastAsia="Times New Roman"/>
              </w:rPr>
            </w:pPr>
            <w:r w:rsidRPr="00550AE7">
              <w:t>Třída zařízení - Venkovní AP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t>Vestavěná interní MIMO anténa omni všesměrová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Access Point vybavený radiem pro 2,4 a 5 GHz pásmo, podpora standardu 802.11a/b/g/n/ac wave 2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BA" w:rsidRPr="00550AE7" w:rsidTr="001F4232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3C3DBA" w:rsidRPr="00550AE7" w:rsidRDefault="003C3DBA" w:rsidP="001F4232">
            <w:r w:rsidRPr="001A01D4">
              <w:t>Podpora MIMO a počet nezávislých streamů 2x2:2, až 80 MHz kanál pro 802.11ac</w:t>
            </w:r>
          </w:p>
        </w:tc>
        <w:tc>
          <w:tcPr>
            <w:tcW w:w="2189" w:type="dxa"/>
            <w:shd w:val="clear" w:color="auto" w:fill="auto"/>
          </w:tcPr>
          <w:p w:rsidR="003C3DBA" w:rsidRPr="00550AE7" w:rsidRDefault="003C3DBA" w:rsidP="001F4232"/>
        </w:tc>
        <w:tc>
          <w:tcPr>
            <w:tcW w:w="1279" w:type="dxa"/>
            <w:shd w:val="clear" w:color="auto" w:fill="auto"/>
          </w:tcPr>
          <w:p w:rsidR="003C3DBA" w:rsidRPr="00550AE7" w:rsidRDefault="003C3DBA" w:rsidP="001F42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3C3DBA" w:rsidP="000E3D91">
            <w:r>
              <w:rPr>
                <w:lang w:eastAsia="cs-CZ"/>
              </w:rPr>
              <w:t xml:space="preserve">Certifikace </w:t>
            </w:r>
            <w:r w:rsidRPr="003C3DBA">
              <w:rPr>
                <w:lang w:eastAsia="cs-CZ"/>
              </w:rPr>
              <w:t>dle standardu IEEE 802.11ax</w:t>
            </w:r>
            <w:r>
              <w:rPr>
                <w:lang w:eastAsia="cs-CZ"/>
              </w:rPr>
              <w:t xml:space="preserve"> - </w:t>
            </w:r>
            <w:r w:rsidRPr="003C3DBA">
              <w:rPr>
                <w:lang w:eastAsia="cs-CZ"/>
              </w:rPr>
              <w:t>Wi-Fi CERTIFIED 6</w:t>
            </w:r>
            <w:r>
              <w:rPr>
                <w:lang w:eastAsia="cs-CZ"/>
              </w:rPr>
              <w:t>.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Přenosová rychlost v pásmu 5 GHz min. 867 Mbps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Minimální počet inzerovaných SSID (BSSID) per radio 8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Venkovní provedení s krytím IP67, rozsah provozních teplot -40° až +55°C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1x 10/100/1000 Ethernet rozhraní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t>Podpora přímého přístupu na příkazovou řádku AP přes serial konzoli nebo přes IPv4 a IPv6 pomocí Telnet nebo SSH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t>Podpora spektrální analýzy v pásmech 2,4GHz a 5GHz (detekce zdroje rušivého signálu – interference)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Možnost napájení z 802.3af nebo at PoE injectoru 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Vypínatelné indikační LED diody informující o stavu zařízení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Mapování SSID do různých VLAN podle IEEE 802.1Q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Pracovní režim AP řízené kontrolérem (lightweight)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1D4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1A01D4" w:rsidRPr="00550AE7" w:rsidRDefault="001A01D4" w:rsidP="000E3D91">
            <w:r w:rsidRPr="001A01D4">
              <w:t>Součástí</w:t>
            </w:r>
            <w:r>
              <w:t xml:space="preserve"> AP je příslušenství pro montáž</w:t>
            </w:r>
          </w:p>
        </w:tc>
        <w:tc>
          <w:tcPr>
            <w:tcW w:w="2189" w:type="dxa"/>
            <w:shd w:val="clear" w:color="auto" w:fill="auto"/>
          </w:tcPr>
          <w:p w:rsidR="001A01D4" w:rsidRPr="00550AE7" w:rsidRDefault="001A01D4" w:rsidP="000E3D91"/>
        </w:tc>
        <w:tc>
          <w:tcPr>
            <w:tcW w:w="1279" w:type="dxa"/>
            <w:shd w:val="clear" w:color="auto" w:fill="auto"/>
          </w:tcPr>
          <w:p w:rsidR="001A01D4" w:rsidRPr="00550AE7" w:rsidRDefault="001A01D4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0663" w:rsidRPr="00550AE7" w:rsidRDefault="00F70663" w:rsidP="00F70663">
      <w:pPr>
        <w:pStyle w:val="Nadpis3"/>
        <w:numPr>
          <w:ilvl w:val="0"/>
          <w:numId w:val="0"/>
        </w:numPr>
        <w:ind w:left="720" w:hanging="720"/>
        <w:rPr>
          <w:rFonts w:ascii="Arial" w:hAnsi="Arial" w:cs="Arial"/>
        </w:rPr>
      </w:pPr>
    </w:p>
    <w:p w:rsidR="00CE7381" w:rsidRDefault="00CE7381" w:rsidP="009C2B8B">
      <w:pPr>
        <w:pStyle w:val="Nadpis1"/>
      </w:pPr>
      <w:r w:rsidRPr="00550AE7">
        <w:t xml:space="preserve">Wifi controller </w:t>
      </w:r>
    </w:p>
    <w:p w:rsidR="00E82E6C" w:rsidRPr="00E82E6C" w:rsidRDefault="00E82E6C" w:rsidP="00E82E6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2189"/>
        <w:gridCol w:w="1279"/>
      </w:tblGrid>
      <w:tr w:rsidR="000C17EC" w:rsidRPr="00550AE7" w:rsidTr="000C17EC">
        <w:trPr>
          <w:cantSplit/>
          <w:tblHeader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A3659E" w:rsidRDefault="00A3659E" w:rsidP="000E3D91">
            <w:r w:rsidRPr="00A3659E">
              <w:t>Požadovaný formát zařízení: Fyzické zařízení - nepřipouští se virtulizovaný kontrolér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Počet optických portů 10Gbit/s s volitelným fyzickým rozhraním: 4x 10Gbit/s SFP+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Podorovaný počet AP bez nutnosti přidávání hardware: 512 AP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Redundance (HA) kontrolerů v režimech: active-active a active-standby.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Výpadek aktivního kontroleru v redundantním páru nemá dopad na provoz již připojených klientů (tj. bez potřeby opětovné autentizace)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Možnost redundantního napájecího zdroje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A3659E" w:rsidRDefault="00A3659E" w:rsidP="000E3D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0107">
              <w:t>Podporovaný počet současně připojených klientů: min. 16000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59E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9E" w:rsidRPr="00550AE7" w:rsidRDefault="00A3659E" w:rsidP="000E3D91">
            <w:r w:rsidRPr="00A3659E">
              <w:t xml:space="preserve">Tunelování uživatelských dat z AP až na </w:t>
            </w:r>
            <w:r w:rsidR="0028032E" w:rsidRPr="00A3659E">
              <w:t>kontrolér</w:t>
            </w:r>
            <w:r w:rsidRPr="00A3659E">
              <w:t>, možnost šifrování těchto dat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9E" w:rsidRPr="00550AE7" w:rsidRDefault="00A3659E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9E" w:rsidRPr="00550AE7" w:rsidRDefault="00A3659E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Vzdálené lokality - možnost lokálního bridgování uživatelských dat per SSID přímo na příslušném AP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Aplikační inspekce přenášeného provozu (DPI na 7. vrstvě ISO/OSI na základě aplikačních signatur) umožňující rozpoznání jednotlivých aplikací, grafické zobrazení statistik a možnost řízení QoS per rozpoznaná aplikace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655B" w:rsidRPr="00550AE7" w:rsidRDefault="004D655B" w:rsidP="000E3D91">
            <w:r w:rsidRPr="00550AE7">
              <w:t>Podpora pro 802.11u, 802.11v a 802.11k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>RJ45 konzolový port a/nebo USB konzolový port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>Podpora wireless MESH s protokolem pro výběr optimální cesty a podporovanou hloubkou min. 8 hopů, automatický výběr vhodného kanálu pro backhaul, současné připojení normálních a mesh AP k jednomu kontroléru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>
              <w:t>P</w:t>
            </w:r>
            <w:r w:rsidR="004D655B" w:rsidRPr="00550AE7">
              <w:t>odpora rozpoznávání aplikací na 7. vrstvě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WPA3, WPA/WPA2-PSK, WPA/WPA2-Enterprise, 802.1X, MAC autentizace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>Vestavěný “captive portal” pro návštěvníky s podporou nativních IPv6 klientů, s možností úpravy vzhledu a přidáním vlastního loga, včetně vestavěného rozhraní pro vytváření dočasných guest účtů s možností definice jejich platnosti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4D655B" w:rsidP="000E3D91">
            <w:r w:rsidRPr="00550AE7">
              <w:t>Podpora linkové agregace IEEE 802.3ad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správy přes serial CLI nebo přes IP pomocí SSH/telnet a https web GUI, SNMP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Grafický uživatelský dashboard zobrazujicí kvalitu a obsazenost kanálů, jednotlivé klienty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Funkce řízení a ochrany rádioveho spektra s automatickou optimalizací sítě (přidělováni kanálů, fast roaming, rozdělení klientů na jednotlivá AP)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spektrální analýzy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Podpora standardu „802.11w“ pro ochranu řídících rámců na AP a klientovi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API rozhraní pro plnou konfiguraci kontroléru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Rogue Wireless detekce a containment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4D655B" w:rsidP="000E3D91">
            <w:r w:rsidRPr="00550AE7">
              <w:t>Podpora VLAN podle IEEE 802.1Q (VLAN 4000)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860107" w:rsidP="000E3D91">
            <w:r w:rsidRPr="00860107">
              <w:t>Podporované autentizační/autorizační zdroje: RADIUS, LDAP, RFC 3576 Change of Authorization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>Plná kompatibilita s nabízenými přístupovými body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>Sdílení licencí mezi více kontroléry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 xml:space="preserve">Automatické dynamické rozpoznání a prioritizace hlasových protokolů jako SIP, SCCP, VOCERA a SVP pomocí funkce DPI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>Integrovaný Wireless IPS s  podporou wireless containment, možnost vynuceného odpojení klientů od cizích AP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07C5" w:rsidRDefault="00B407C5" w:rsidP="00B407C5">
      <w:pPr>
        <w:pStyle w:val="Nadpis1"/>
      </w:pPr>
      <w:r w:rsidRPr="00B407C5">
        <w:t>SW řešení pro řízení přístupu</w:t>
      </w:r>
    </w:p>
    <w:p w:rsidR="00B407C5" w:rsidRPr="00B407C5" w:rsidRDefault="00B407C5" w:rsidP="00B407C5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2268"/>
        <w:gridCol w:w="1247"/>
      </w:tblGrid>
      <w:tr w:rsidR="00B407C5" w:rsidRPr="00E67073" w:rsidTr="00B407C5">
        <w:trPr>
          <w:cantSplit/>
          <w:tblHeader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407C5" w:rsidRPr="00E67073" w:rsidRDefault="00B407C5" w:rsidP="00C501FE">
            <w:pPr>
              <w:pStyle w:val="Bezmezer"/>
              <w:rPr>
                <w:rFonts w:ascii="Times New Roman" w:hAnsi="Times New Roman"/>
                <w:b/>
              </w:rPr>
            </w:pPr>
            <w:r w:rsidRPr="00E67073">
              <w:rPr>
                <w:rFonts w:ascii="Times New Roman" w:hAnsi="Times New Roman"/>
                <w:b/>
              </w:rPr>
              <w:t xml:space="preserve">Požadované </w:t>
            </w:r>
            <w:r>
              <w:rPr>
                <w:rFonts w:ascii="Times New Roman" w:hAnsi="Times New Roman"/>
                <w:b/>
              </w:rPr>
              <w:t>funkcionalita</w:t>
            </w:r>
            <w:r w:rsidRPr="00E67073">
              <w:rPr>
                <w:rFonts w:ascii="Times New Roman" w:hAnsi="Times New Roman"/>
                <w:b/>
              </w:rPr>
              <w:t>/vlastnost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407C5" w:rsidRDefault="00B407C5" w:rsidP="00C501FE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E67073">
              <w:rPr>
                <w:rFonts w:ascii="Times New Roman" w:hAnsi="Times New Roman"/>
                <w:b/>
              </w:rPr>
              <w:t>Způsob splnění požadované funkcionality</w:t>
            </w:r>
            <w:r>
              <w:rPr>
                <w:rFonts w:ascii="Times New Roman" w:hAnsi="Times New Roman"/>
                <w:b/>
              </w:rPr>
              <w:t>/</w:t>
            </w:r>
            <w:r w:rsidRPr="00E67073">
              <w:rPr>
                <w:rFonts w:ascii="Times New Roman" w:hAnsi="Times New Roman"/>
                <w:b/>
              </w:rPr>
              <w:t>vlastnosti</w:t>
            </w:r>
          </w:p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ANO/NE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Bližší specifikace (Označení, typ, atd.)</w:t>
            </w: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On premise řešení pro externí captive portál pro zaměstnance DPO a návštěvy a jejich rozšířenou autentizaci (</w:t>
            </w:r>
            <w:r w:rsidRPr="00E67073">
              <w:rPr>
                <w:color w:val="000000" w:themeColor="text1"/>
                <w:sz w:val="22"/>
                <w:szCs w:val="22"/>
              </w:rPr>
              <w:t>pro min. 400 hostů)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Appliance </w:t>
            </w:r>
            <w:r>
              <w:rPr>
                <w:rFonts w:ascii="Times New Roman" w:hAnsi="Times New Roman"/>
                <w:color w:val="000000"/>
              </w:rPr>
              <w:t xml:space="preserve">musí být od stejného výrobce jako kontroler </w:t>
            </w:r>
            <w:r w:rsidRPr="00E67073">
              <w:rPr>
                <w:rFonts w:ascii="Times New Roman" w:hAnsi="Times New Roman"/>
                <w:color w:val="000000"/>
              </w:rPr>
              <w:t>bez nutnosti dodatečných licencí např. pro OS nebo databáze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Podpora 802.1X autentizace pro bezdrátové sítě, Ethernet LAN sítě a VPN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Možnost vytváření clusterů více virtuálních instancí. Cluster pak musí poskytovat vysokou dostupnost pro všechny funkcionality řešení a zároveň možnost navýšení počtu podporovaných uživatelů přidáním další instance. Cluster bude podporovat active-active režim pro ověřování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Podpora RADIUS CoA podle RFC3576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Platforma podporuje změnu autorizačního stavu zařízení bez nutnosti změny definice autorizační politiky, např. pro odpojení nebo karanténu koncových zařízení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Podpora minimálně následujících metod autentizace: PEAP-MSCHAPv2, EAP-TLS, EAP-TTLS, MAC autentizace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Podpora TACACS+ autentizace správců síťových zařízen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Možnost využití autentizace a autorizace min: LDAP, MS AD, Token, MAC auth, generická SQL databáze, Kerberos, HTTPS web autentizace, Single Sign-On (minimálně SAML 2+ IdP a SP, OAuth, Shibboleth a Okta)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Podpora autorizace zařízení a uživatelů na základě kontextových informací jako čas, místo připojení, osobní profil či skupina v Active Directory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Možnost integrace s MDM (Mobile Device Management) platformami třetích stran (minimálně AirWatch, Citrix, MobileIron)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Podpora REST API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Podpora REST volání vyvolaného autentizační či autorizační událostí (minimálně pro předání informací o klientovi jinému systému, automatického založení support ticketu atp.)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Zpracovávání syslog hlášení z externích zdrojů, vyhledávání klíčových událostí a automatizovaná reakce na ně. Minimálně v rozsahu přijmutí bezpečnostního hlášení z firewallu a izolace konkrétního klienta na základě tohoto hlášení.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Administrátor systému musí mít možnost vlastní tvorby parseru/integrace syslog hlášení pro možnost uživatelské integrace s libovolnými systémy třetích stran.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Sběr dodatečných informací o připojených zařízeních (“profiling”) jako jsou DHCP volby klienta, HTTP uživatelský agent či předvolba MAC adresy. Tyto informace musí být možné využít pro doplňkové ověření přístupu zařízení do sítě.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 xml:space="preserve">Možnost registrace zařízení pomocí MAC adresy pro non-IT uživatele - omezená funkce administračního rozhraní, se zařazením zařízení do skupiny s definovanou politikou přístupu.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Podpora autentizace pomocí účtů sociálních sítí </w:t>
            </w:r>
            <w:r w:rsidRPr="00E67073">
              <w:rPr>
                <w:rFonts w:ascii="Times New Roman" w:hAnsi="Times New Roman"/>
                <w:color w:val="000000"/>
                <w:lang w:val="en-US"/>
              </w:rPr>
              <w:t>–</w:t>
            </w:r>
            <w:r w:rsidRPr="00E67073">
              <w:rPr>
                <w:rFonts w:ascii="Times New Roman" w:hAnsi="Times New Roman"/>
                <w:color w:val="000000"/>
              </w:rPr>
              <w:t xml:space="preserve"> Google, Google Plus, Facebook, Facebook WIFI, Twitter, LinkedIn, Microsoft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Podpora autentizace lokálními účty v rámci portálu, ověření pomocí jméno+heslo, autentizační kód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</w:rPr>
              <w:t>Možnost samoobslužné registrace hosta do sítě s SMS a email ověřením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67073">
              <w:rPr>
                <w:sz w:val="22"/>
                <w:szCs w:val="22"/>
              </w:rPr>
              <w:t>Možnost přístupu zdarma pouze s akceptací podmínek užití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67073">
              <w:rPr>
                <w:sz w:val="22"/>
                <w:szCs w:val="22"/>
              </w:rPr>
              <w:t>Možnost vynucení odpojení zařízení ihned po naplnění jakéhokoliv z limitů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</w:rPr>
              <w:t>Perzistence autentizace/registrace skrze MAC caching a zobrazení už jen uvítacích stránek s osobním oslovením hosta při dalších návštěvách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67073">
              <w:rPr>
                <w:sz w:val="22"/>
                <w:szCs w:val="22"/>
              </w:rPr>
              <w:t>Možnost provozovat více graficky i obsahově unikátních portálů v rámci jedné instalace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 w:rsidRPr="00E67073">
              <w:rPr>
                <w:rFonts w:eastAsia="Times New Roman"/>
                <w:color w:val="000000"/>
                <w:lang w:eastAsia="cs-CZ"/>
              </w:rPr>
              <w:t>SW maintenance a technická podpora poskytnutá výrobcem na 3 roky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 w:rsidR="00B407C5" w:rsidRPr="00B407C5" w:rsidRDefault="00B407C5" w:rsidP="00B407C5"/>
    <w:p w:rsidR="006556D7" w:rsidRPr="00550AE7" w:rsidRDefault="006556D7" w:rsidP="009C2B8B">
      <w:pPr>
        <w:pStyle w:val="Nadpis1"/>
      </w:pPr>
      <w:r w:rsidRPr="00550AE7">
        <w:t>Příslušenství</w:t>
      </w:r>
    </w:p>
    <w:p w:rsidR="006556D7" w:rsidRPr="00550AE7" w:rsidRDefault="006556D7" w:rsidP="006556D7">
      <w:pPr>
        <w:rPr>
          <w:rFonts w:ascii="Arial" w:hAnsi="Arial" w:cs="Arial"/>
        </w:rPr>
      </w:pPr>
    </w:p>
    <w:p w:rsidR="00731B84" w:rsidRPr="00D95331" w:rsidRDefault="006556D7" w:rsidP="006556D7">
      <w:r w:rsidRPr="00550AE7">
        <w:t xml:space="preserve">Napájení </w:t>
      </w:r>
      <w:r w:rsidRPr="00831A5A">
        <w:t>přístupových bodů</w:t>
      </w:r>
      <w:r w:rsidR="00D50C4A" w:rsidRPr="00831A5A">
        <w:t xml:space="preserve"> bude realizováno pomocí </w:t>
      </w:r>
      <w:r w:rsidR="005A4605" w:rsidRPr="00831A5A">
        <w:t xml:space="preserve">16-ti </w:t>
      </w:r>
      <w:r w:rsidR="00D50C4A" w:rsidRPr="00831A5A">
        <w:t>multiportových PoE injektorů</w:t>
      </w:r>
      <w:r w:rsidR="00D95331">
        <w:t xml:space="preserve"> velikost 1U,</w:t>
      </w:r>
      <w:r w:rsidR="00D50C4A" w:rsidRPr="00831A5A">
        <w:t xml:space="preserve"> um</w:t>
      </w:r>
      <w:r w:rsidR="00731B84" w:rsidRPr="00831A5A">
        <w:t>ístěných v datových rozvaděčích, které musí být kompatibilní s dodávanými AP.</w:t>
      </w:r>
    </w:p>
    <w:p w:rsidR="00B0497A" w:rsidRPr="00550AE7" w:rsidRDefault="00B0497A" w:rsidP="00472C0A">
      <w:pPr>
        <w:rPr>
          <w:rFonts w:ascii="Arial" w:hAnsi="Arial" w:cs="Arial"/>
        </w:rPr>
      </w:pPr>
    </w:p>
    <w:sectPr w:rsidR="00B0497A" w:rsidRPr="00550A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48E" w:rsidRDefault="0096148E" w:rsidP="0074031A">
      <w:pPr>
        <w:spacing w:after="0"/>
      </w:pPr>
      <w:r>
        <w:separator/>
      </w:r>
    </w:p>
  </w:endnote>
  <w:endnote w:type="continuationSeparator" w:id="0">
    <w:p w:rsidR="0096148E" w:rsidRDefault="0096148E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C7BA2">
      <w:rPr>
        <w:noProof/>
      </w:rPr>
      <w:t>1</w:t>
    </w:r>
    <w:r>
      <w:fldChar w:fldCharType="end"/>
    </w:r>
    <w:r>
      <w:t>/</w:t>
    </w:r>
    <w:r w:rsidR="00DC7BA2">
      <w:fldChar w:fldCharType="begin"/>
    </w:r>
    <w:r w:rsidR="00DC7BA2">
      <w:instrText xml:space="preserve"> NUMPAGES   \* MERGEFORMAT </w:instrText>
    </w:r>
    <w:r w:rsidR="00DC7BA2">
      <w:fldChar w:fldCharType="separate"/>
    </w:r>
    <w:r w:rsidR="00DC7BA2">
      <w:rPr>
        <w:noProof/>
      </w:rPr>
      <w:t>1</w:t>
    </w:r>
    <w:r w:rsidR="00DC7BA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48E" w:rsidRDefault="0096148E" w:rsidP="0074031A">
      <w:pPr>
        <w:spacing w:after="0"/>
      </w:pPr>
      <w:r>
        <w:separator/>
      </w:r>
    </w:p>
  </w:footnote>
  <w:footnote w:type="continuationSeparator" w:id="0">
    <w:p w:rsidR="0096148E" w:rsidRDefault="0096148E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1A" w:rsidRPr="0087779A" w:rsidRDefault="0074031A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Smlouva o dílo</w:t>
    </w:r>
  </w:p>
  <w:p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:rsidR="0074031A" w:rsidRDefault="0074031A" w:rsidP="00274985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Pr="00351AF0">
      <w:rPr>
        <w:sz w:val="20"/>
        <w:szCs w:val="20"/>
      </w:rPr>
      <w:t>DOD20190818</w:t>
    </w:r>
  </w:p>
  <w:p w:rsidR="008D4E97" w:rsidRDefault="008D4E97" w:rsidP="00274985">
    <w:pPr>
      <w:pStyle w:val="Zhlav"/>
      <w:jc w:val="right"/>
      <w:rPr>
        <w:sz w:val="20"/>
        <w:szCs w:val="20"/>
      </w:rPr>
    </w:pPr>
  </w:p>
  <w:p w:rsidR="008D4E97" w:rsidRPr="00274985" w:rsidRDefault="008D4E97" w:rsidP="00274985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5801"/>
    <w:rsid w:val="00021B70"/>
    <w:rsid w:val="000240D9"/>
    <w:rsid w:val="00026DC4"/>
    <w:rsid w:val="00031B70"/>
    <w:rsid w:val="00040DC5"/>
    <w:rsid w:val="00041FE3"/>
    <w:rsid w:val="00043568"/>
    <w:rsid w:val="000436FC"/>
    <w:rsid w:val="0004564D"/>
    <w:rsid w:val="00085A2A"/>
    <w:rsid w:val="00085DC4"/>
    <w:rsid w:val="0009520C"/>
    <w:rsid w:val="000A0170"/>
    <w:rsid w:val="000A58A3"/>
    <w:rsid w:val="000B3E16"/>
    <w:rsid w:val="000B4790"/>
    <w:rsid w:val="000B4D06"/>
    <w:rsid w:val="000B79DD"/>
    <w:rsid w:val="000C17EC"/>
    <w:rsid w:val="000E2D28"/>
    <w:rsid w:val="000E3D91"/>
    <w:rsid w:val="000F2537"/>
    <w:rsid w:val="00110E27"/>
    <w:rsid w:val="00151759"/>
    <w:rsid w:val="00154353"/>
    <w:rsid w:val="00155581"/>
    <w:rsid w:val="00160B50"/>
    <w:rsid w:val="00161F73"/>
    <w:rsid w:val="0017535F"/>
    <w:rsid w:val="001860DE"/>
    <w:rsid w:val="00193395"/>
    <w:rsid w:val="00195F30"/>
    <w:rsid w:val="001A01D4"/>
    <w:rsid w:val="001B69E6"/>
    <w:rsid w:val="001D110C"/>
    <w:rsid w:val="001E414F"/>
    <w:rsid w:val="002008DB"/>
    <w:rsid w:val="00210695"/>
    <w:rsid w:val="002254A4"/>
    <w:rsid w:val="00226940"/>
    <w:rsid w:val="002330E6"/>
    <w:rsid w:val="00240F33"/>
    <w:rsid w:val="0024554F"/>
    <w:rsid w:val="0024571C"/>
    <w:rsid w:val="00252BE1"/>
    <w:rsid w:val="00260CBE"/>
    <w:rsid w:val="0026450A"/>
    <w:rsid w:val="00274985"/>
    <w:rsid w:val="0028032E"/>
    <w:rsid w:val="00287494"/>
    <w:rsid w:val="002B3195"/>
    <w:rsid w:val="002B6747"/>
    <w:rsid w:val="002C2BD8"/>
    <w:rsid w:val="002D025F"/>
    <w:rsid w:val="002D7B11"/>
    <w:rsid w:val="002E3153"/>
    <w:rsid w:val="002F34DF"/>
    <w:rsid w:val="002F7EAD"/>
    <w:rsid w:val="00327669"/>
    <w:rsid w:val="00340231"/>
    <w:rsid w:val="003413AD"/>
    <w:rsid w:val="00343EA2"/>
    <w:rsid w:val="003767E7"/>
    <w:rsid w:val="00387F68"/>
    <w:rsid w:val="003C3ACF"/>
    <w:rsid w:val="003C3DBA"/>
    <w:rsid w:val="003E5BE6"/>
    <w:rsid w:val="00402A95"/>
    <w:rsid w:val="0041578A"/>
    <w:rsid w:val="00421CAF"/>
    <w:rsid w:val="00423E1A"/>
    <w:rsid w:val="004242BF"/>
    <w:rsid w:val="00427D19"/>
    <w:rsid w:val="0043578B"/>
    <w:rsid w:val="00456095"/>
    <w:rsid w:val="004608EF"/>
    <w:rsid w:val="00472C0A"/>
    <w:rsid w:val="00491FD1"/>
    <w:rsid w:val="004A22E8"/>
    <w:rsid w:val="004A39F6"/>
    <w:rsid w:val="004A5815"/>
    <w:rsid w:val="004D2F93"/>
    <w:rsid w:val="004D655B"/>
    <w:rsid w:val="004F7C07"/>
    <w:rsid w:val="00510379"/>
    <w:rsid w:val="00510EF8"/>
    <w:rsid w:val="0051677F"/>
    <w:rsid w:val="00521C0C"/>
    <w:rsid w:val="00523119"/>
    <w:rsid w:val="00536105"/>
    <w:rsid w:val="00536995"/>
    <w:rsid w:val="0054463C"/>
    <w:rsid w:val="00550AE7"/>
    <w:rsid w:val="00554445"/>
    <w:rsid w:val="005727C1"/>
    <w:rsid w:val="0057763C"/>
    <w:rsid w:val="00585C10"/>
    <w:rsid w:val="0059389E"/>
    <w:rsid w:val="005A4605"/>
    <w:rsid w:val="005A46DC"/>
    <w:rsid w:val="005B02E0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9D6"/>
    <w:rsid w:val="006556D7"/>
    <w:rsid w:val="006945D2"/>
    <w:rsid w:val="006B0704"/>
    <w:rsid w:val="006B0DFC"/>
    <w:rsid w:val="006B7C62"/>
    <w:rsid w:val="006C112C"/>
    <w:rsid w:val="006E15AA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963A0"/>
    <w:rsid w:val="007974A2"/>
    <w:rsid w:val="007A095A"/>
    <w:rsid w:val="007B5471"/>
    <w:rsid w:val="007C43AF"/>
    <w:rsid w:val="007C46F2"/>
    <w:rsid w:val="007D0800"/>
    <w:rsid w:val="007D477D"/>
    <w:rsid w:val="007D4BF8"/>
    <w:rsid w:val="007E1263"/>
    <w:rsid w:val="007F0149"/>
    <w:rsid w:val="007F2D4F"/>
    <w:rsid w:val="007F728D"/>
    <w:rsid w:val="00803CB3"/>
    <w:rsid w:val="008143FE"/>
    <w:rsid w:val="00831A5A"/>
    <w:rsid w:val="00841FD6"/>
    <w:rsid w:val="00860107"/>
    <w:rsid w:val="008664F9"/>
    <w:rsid w:val="00872E3C"/>
    <w:rsid w:val="008832E9"/>
    <w:rsid w:val="00883EA2"/>
    <w:rsid w:val="008A0040"/>
    <w:rsid w:val="008A1813"/>
    <w:rsid w:val="008A4314"/>
    <w:rsid w:val="008D0B1B"/>
    <w:rsid w:val="008D349E"/>
    <w:rsid w:val="008D3693"/>
    <w:rsid w:val="008D4E97"/>
    <w:rsid w:val="008E01DF"/>
    <w:rsid w:val="00915386"/>
    <w:rsid w:val="00946316"/>
    <w:rsid w:val="0096148E"/>
    <w:rsid w:val="00965F43"/>
    <w:rsid w:val="009718A7"/>
    <w:rsid w:val="00973639"/>
    <w:rsid w:val="00977938"/>
    <w:rsid w:val="00997AF7"/>
    <w:rsid w:val="009A46EE"/>
    <w:rsid w:val="009C2B8B"/>
    <w:rsid w:val="009C3464"/>
    <w:rsid w:val="009C3A44"/>
    <w:rsid w:val="009C56B5"/>
    <w:rsid w:val="009E108A"/>
    <w:rsid w:val="009F4C88"/>
    <w:rsid w:val="00A10641"/>
    <w:rsid w:val="00A11DBD"/>
    <w:rsid w:val="00A15B22"/>
    <w:rsid w:val="00A16310"/>
    <w:rsid w:val="00A26AE8"/>
    <w:rsid w:val="00A26D55"/>
    <w:rsid w:val="00A30C22"/>
    <w:rsid w:val="00A3659E"/>
    <w:rsid w:val="00A51B5D"/>
    <w:rsid w:val="00A842FF"/>
    <w:rsid w:val="00A97266"/>
    <w:rsid w:val="00AA3373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5D86"/>
    <w:rsid w:val="00B407C5"/>
    <w:rsid w:val="00B45A4A"/>
    <w:rsid w:val="00B4660F"/>
    <w:rsid w:val="00B5344F"/>
    <w:rsid w:val="00B67CAE"/>
    <w:rsid w:val="00B77778"/>
    <w:rsid w:val="00B91E79"/>
    <w:rsid w:val="00BA33FA"/>
    <w:rsid w:val="00BB5361"/>
    <w:rsid w:val="00BC09E5"/>
    <w:rsid w:val="00C27F8C"/>
    <w:rsid w:val="00C33FC6"/>
    <w:rsid w:val="00C47E3C"/>
    <w:rsid w:val="00C56938"/>
    <w:rsid w:val="00C627D9"/>
    <w:rsid w:val="00C6380E"/>
    <w:rsid w:val="00C713A8"/>
    <w:rsid w:val="00C72436"/>
    <w:rsid w:val="00CA6A95"/>
    <w:rsid w:val="00CD2109"/>
    <w:rsid w:val="00CE7381"/>
    <w:rsid w:val="00CF0067"/>
    <w:rsid w:val="00D0692F"/>
    <w:rsid w:val="00D1324B"/>
    <w:rsid w:val="00D31107"/>
    <w:rsid w:val="00D32A0E"/>
    <w:rsid w:val="00D40CC5"/>
    <w:rsid w:val="00D425F9"/>
    <w:rsid w:val="00D50C4A"/>
    <w:rsid w:val="00D67BB9"/>
    <w:rsid w:val="00D74165"/>
    <w:rsid w:val="00D76D30"/>
    <w:rsid w:val="00D95331"/>
    <w:rsid w:val="00DA68CC"/>
    <w:rsid w:val="00DB66BD"/>
    <w:rsid w:val="00DC58F7"/>
    <w:rsid w:val="00DC7BA2"/>
    <w:rsid w:val="00DD5177"/>
    <w:rsid w:val="00DF03BB"/>
    <w:rsid w:val="00DF49E4"/>
    <w:rsid w:val="00E0386F"/>
    <w:rsid w:val="00E15179"/>
    <w:rsid w:val="00E27345"/>
    <w:rsid w:val="00E329BC"/>
    <w:rsid w:val="00E47CDF"/>
    <w:rsid w:val="00E52AEC"/>
    <w:rsid w:val="00E5704D"/>
    <w:rsid w:val="00E712E1"/>
    <w:rsid w:val="00E82E6C"/>
    <w:rsid w:val="00E8470A"/>
    <w:rsid w:val="00EB0D30"/>
    <w:rsid w:val="00EB7D52"/>
    <w:rsid w:val="00EC630E"/>
    <w:rsid w:val="00F110C2"/>
    <w:rsid w:val="00F132BC"/>
    <w:rsid w:val="00F1600F"/>
    <w:rsid w:val="00F25279"/>
    <w:rsid w:val="00F45E23"/>
    <w:rsid w:val="00F46DB0"/>
    <w:rsid w:val="00F60C95"/>
    <w:rsid w:val="00F62BC1"/>
    <w:rsid w:val="00F70663"/>
    <w:rsid w:val="00F9349C"/>
    <w:rsid w:val="00FB1F4C"/>
    <w:rsid w:val="00FB6C00"/>
    <w:rsid w:val="00FC5D62"/>
    <w:rsid w:val="00FD0F3C"/>
    <w:rsid w:val="00FD681F"/>
    <w:rsid w:val="00FD6F39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274985"/>
    <w:pPr>
      <w:spacing w:after="0"/>
      <w:jc w:val="center"/>
    </w:pPr>
    <w:rPr>
      <w:rFonts w:eastAsia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27498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407C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2304</Words>
  <Characters>13594</Characters>
  <Application>Microsoft Office Word</Application>
  <DocSecurity>4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DPO</Company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Červenková Jana</dc:creator>
  <cp:lastModifiedBy>Červenková Jana</cp:lastModifiedBy>
  <cp:revision>2</cp:revision>
  <cp:lastPrinted>2020-03-06T10:08:00Z</cp:lastPrinted>
  <dcterms:created xsi:type="dcterms:W3CDTF">2020-04-03T09:44:00Z</dcterms:created>
  <dcterms:modified xsi:type="dcterms:W3CDTF">2020-04-03T09:44:00Z</dcterms:modified>
</cp:coreProperties>
</file>