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E3D8" w14:textId="77777777" w:rsidR="00B547E6" w:rsidRDefault="00B547E6" w:rsidP="0042325A">
      <w:pPr>
        <w:tabs>
          <w:tab w:val="left" w:pos="1575"/>
        </w:tabs>
        <w:spacing w:after="0" w:line="240" w:lineRule="auto"/>
      </w:pPr>
    </w:p>
    <w:p w14:paraId="50F67334" w14:textId="77777777" w:rsidR="00A566A0" w:rsidRPr="004D22D3" w:rsidRDefault="00A566A0" w:rsidP="00A566A0">
      <w:pPr>
        <w:spacing w:before="240"/>
        <w:jc w:val="center"/>
        <w:rPr>
          <w:rFonts w:ascii="Calibri" w:hAnsi="Calibri" w:cs="Calibri"/>
          <w:b/>
          <w:bCs/>
          <w:color w:val="000000" w:themeColor="text1"/>
          <w:sz w:val="40"/>
          <w:szCs w:val="32"/>
        </w:rPr>
      </w:pPr>
      <w:r w:rsidRPr="004D22D3">
        <w:rPr>
          <w:rFonts w:ascii="Calibri" w:hAnsi="Calibri" w:cs="Calibri"/>
          <w:b/>
          <w:bCs/>
          <w:color w:val="000000" w:themeColor="text1"/>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Písemná komunikace mezi zadavatelem a dodavatelem bude v souladu s ustanovením § 211 odst. 3 ZZVZ (v případě veřejných zakázek malého rozsahu analogicky dle tohoto ustanovení) probíhat elektronickými prostředky. Zadavatel i dodavatel jsou oprávněni pro </w:t>
      </w:r>
      <w:bookmarkStart w:id="0" w:name="_GoBack"/>
      <w:bookmarkEnd w:id="0"/>
      <w:r w:rsidRPr="004F0BA0">
        <w:rPr>
          <w:rFonts w:ascii="Calibri" w:hAnsi="Calibri" w:cs="Calibri"/>
          <w:bCs/>
        </w:rPr>
        <w:t>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64A29BA6"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bookmarkEnd w:id="1"/>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4A773455"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50948120"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5B168716"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6CDE31B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2D69BEE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0236B193"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33A3CA4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r>
        <w:t>JOSEPHINE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2423E8E3"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10AA0D35"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66C95B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55C1A4B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9"/>
      <w:headerReference w:type="first" r:id="rId10"/>
      <w:footerReference w:type="first" r:id="rId11"/>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D673B" w14:textId="77777777" w:rsidR="00C53ADF" w:rsidRDefault="00C53ADF" w:rsidP="00AB5244">
      <w:r>
        <w:separator/>
      </w:r>
    </w:p>
  </w:endnote>
  <w:endnote w:type="continuationSeparator" w:id="0">
    <w:p w14:paraId="165B72B7" w14:textId="77777777" w:rsidR="00C53ADF" w:rsidRDefault="00C53ADF" w:rsidP="00AB5244">
      <w:r>
        <w:continuationSeparator/>
      </w:r>
    </w:p>
  </w:endnote>
  <w:endnote w:type="continuationNotice" w:id="1">
    <w:p w14:paraId="0D5DC1C8" w14:textId="77777777" w:rsidR="00C53ADF" w:rsidRDefault="00C53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DA7A6" w14:textId="77777777" w:rsidR="00C53ADF" w:rsidRDefault="00C53ADF" w:rsidP="00AB5244">
      <w:r>
        <w:separator/>
      </w:r>
    </w:p>
  </w:footnote>
  <w:footnote w:type="continuationSeparator" w:id="0">
    <w:p w14:paraId="525A73AC" w14:textId="77777777" w:rsidR="00C53ADF" w:rsidRDefault="00C53ADF" w:rsidP="00AB5244">
      <w:r>
        <w:continuationSeparator/>
      </w:r>
    </w:p>
  </w:footnote>
  <w:footnote w:type="continuationNotice" w:id="1">
    <w:p w14:paraId="744AA49A" w14:textId="77777777" w:rsidR="00C53ADF" w:rsidRDefault="00C53A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6401E" w14:textId="0F20413C" w:rsidR="00852227" w:rsidRDefault="00852227" w:rsidP="00852227">
    <w:pPr>
      <w:pStyle w:val="Zhlav"/>
      <w:spacing w:after="0"/>
      <w:jc w:val="right"/>
    </w:pPr>
    <w:r>
      <w:rPr>
        <w:noProof/>
        <w:lang w:eastAsia="cs-CZ"/>
      </w:rPr>
      <w:drawing>
        <wp:anchor distT="0" distB="0" distL="114300" distR="114300" simplePos="0" relativeHeight="251669504" behindDoc="0" locked="0" layoutInCell="1" allowOverlap="1" wp14:anchorId="7338F920" wp14:editId="42CE7386">
          <wp:simplePos x="0" y="0"/>
          <wp:positionH relativeFrom="margin">
            <wp:posOffset>-115570</wp:posOffset>
          </wp:positionH>
          <wp:positionV relativeFrom="paragraph">
            <wp:posOffset>3810</wp:posOffset>
          </wp:positionV>
          <wp:extent cx="2176145" cy="812165"/>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FD">
      <w:t xml:space="preserve">Veřejná zakázka č.: </w:t>
    </w:r>
    <w:r>
      <w:t>Z</w:t>
    </w:r>
    <w:r w:rsidR="00C5616E">
      <w:t>20012</w:t>
    </w:r>
    <w:r>
      <w:t xml:space="preserve"> </w:t>
    </w:r>
  </w:p>
  <w:p w14:paraId="09F6984B" w14:textId="1750A73D" w:rsidR="00852227" w:rsidRPr="00172368" w:rsidRDefault="00852227" w:rsidP="00852227">
    <w:pPr>
      <w:pStyle w:val="Zhlav"/>
      <w:jc w:val="right"/>
      <w:rPr>
        <w:color w:val="000000" w:themeColor="text1"/>
      </w:rPr>
    </w:pPr>
    <w:r w:rsidRPr="00172368">
      <w:rPr>
        <w:color w:val="000000" w:themeColor="text1"/>
      </w:rPr>
      <w:t xml:space="preserve">Příloha č. </w:t>
    </w:r>
    <w:r w:rsidR="007C15E1">
      <w:rPr>
        <w:color w:val="000000" w:themeColor="text1"/>
      </w:rPr>
      <w:t>5</w:t>
    </w:r>
    <w:r w:rsidRPr="00172368">
      <w:rPr>
        <w:color w:val="000000" w:themeColor="text1"/>
      </w:rPr>
      <w:t xml:space="preserve"> </w:t>
    </w:r>
    <w:r>
      <w:rPr>
        <w:color w:val="000000" w:themeColor="text1"/>
      </w:rPr>
      <w:t>– Požadavky na elektronickou komunikaci Josephine</w:t>
    </w:r>
  </w:p>
  <w:p w14:paraId="609D2F2F" w14:textId="2F3FB4B7" w:rsidR="004846E3" w:rsidRDefault="004846E3" w:rsidP="00AB52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titul"/>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07"/>
    <w:rsid w:val="0001297A"/>
    <w:rsid w:val="00017EDD"/>
    <w:rsid w:val="00036E5B"/>
    <w:rsid w:val="00052C3D"/>
    <w:rsid w:val="00053AD6"/>
    <w:rsid w:val="00062589"/>
    <w:rsid w:val="00064997"/>
    <w:rsid w:val="0007122F"/>
    <w:rsid w:val="00081C3A"/>
    <w:rsid w:val="0008356C"/>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4184E"/>
    <w:rsid w:val="0024402F"/>
    <w:rsid w:val="00247E2D"/>
    <w:rsid w:val="00253100"/>
    <w:rsid w:val="00264773"/>
    <w:rsid w:val="0027394C"/>
    <w:rsid w:val="00280901"/>
    <w:rsid w:val="002A70F1"/>
    <w:rsid w:val="002F2145"/>
    <w:rsid w:val="00302321"/>
    <w:rsid w:val="00317CFB"/>
    <w:rsid w:val="00351071"/>
    <w:rsid w:val="003515C6"/>
    <w:rsid w:val="0036416E"/>
    <w:rsid w:val="0037150D"/>
    <w:rsid w:val="003738FD"/>
    <w:rsid w:val="00386AD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573D"/>
    <w:rsid w:val="0045218B"/>
    <w:rsid w:val="00453D8C"/>
    <w:rsid w:val="004560C7"/>
    <w:rsid w:val="004846E3"/>
    <w:rsid w:val="004A2D12"/>
    <w:rsid w:val="004B3F07"/>
    <w:rsid w:val="004C6337"/>
    <w:rsid w:val="004C74C1"/>
    <w:rsid w:val="004D22D3"/>
    <w:rsid w:val="004E24C7"/>
    <w:rsid w:val="004E25BF"/>
    <w:rsid w:val="004E293C"/>
    <w:rsid w:val="004E67EC"/>
    <w:rsid w:val="00511B41"/>
    <w:rsid w:val="00512D4D"/>
    <w:rsid w:val="005238CD"/>
    <w:rsid w:val="00567A97"/>
    <w:rsid w:val="00580C99"/>
    <w:rsid w:val="00593863"/>
    <w:rsid w:val="00597BE8"/>
    <w:rsid w:val="005C6C30"/>
    <w:rsid w:val="005F131A"/>
    <w:rsid w:val="005F4164"/>
    <w:rsid w:val="006006C0"/>
    <w:rsid w:val="00604BF6"/>
    <w:rsid w:val="006050D8"/>
    <w:rsid w:val="00617E6B"/>
    <w:rsid w:val="00633F51"/>
    <w:rsid w:val="00637BA7"/>
    <w:rsid w:val="00637BDC"/>
    <w:rsid w:val="00646D52"/>
    <w:rsid w:val="00655D9A"/>
    <w:rsid w:val="006562F4"/>
    <w:rsid w:val="00663F58"/>
    <w:rsid w:val="006640FC"/>
    <w:rsid w:val="00675EE0"/>
    <w:rsid w:val="0069138B"/>
    <w:rsid w:val="006961FE"/>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526FF"/>
    <w:rsid w:val="0075373F"/>
    <w:rsid w:val="00760B83"/>
    <w:rsid w:val="00761978"/>
    <w:rsid w:val="00765404"/>
    <w:rsid w:val="007B6266"/>
    <w:rsid w:val="007C15E1"/>
    <w:rsid w:val="007D169C"/>
    <w:rsid w:val="007D5B70"/>
    <w:rsid w:val="007F32E6"/>
    <w:rsid w:val="00800934"/>
    <w:rsid w:val="00813F66"/>
    <w:rsid w:val="008427B9"/>
    <w:rsid w:val="00845210"/>
    <w:rsid w:val="00845A22"/>
    <w:rsid w:val="00852227"/>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5052C"/>
    <w:rsid w:val="00C5122E"/>
    <w:rsid w:val="00C53ADF"/>
    <w:rsid w:val="00C54242"/>
    <w:rsid w:val="00C5616E"/>
    <w:rsid w:val="00C75B68"/>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46DCE"/>
    <w:rsid w:val="00D50B0F"/>
    <w:rsid w:val="00D67C1A"/>
    <w:rsid w:val="00D70ECE"/>
    <w:rsid w:val="00D77874"/>
    <w:rsid w:val="00D9138F"/>
    <w:rsid w:val="00D9275F"/>
    <w:rsid w:val="00D9284B"/>
    <w:rsid w:val="00DA1CEC"/>
    <w:rsid w:val="00DB391A"/>
    <w:rsid w:val="00DB3FEC"/>
    <w:rsid w:val="00DC2126"/>
    <w:rsid w:val="00DC2DB8"/>
    <w:rsid w:val="00DD42A9"/>
    <w:rsid w:val="00DD5531"/>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4300"/>
    <w:rsid w:val="00EB5E75"/>
    <w:rsid w:val="00EC6655"/>
    <w:rsid w:val="00ED40D6"/>
    <w:rsid w:val="00ED4CA5"/>
    <w:rsid w:val="00EE4339"/>
    <w:rsid w:val="00F015C1"/>
    <w:rsid w:val="00F153CF"/>
    <w:rsid w:val="00F56ABA"/>
    <w:rsid w:val="00F67B10"/>
    <w:rsid w:val="00F83773"/>
    <w:rsid w:val="00F858FD"/>
    <w:rsid w:val="00F93F58"/>
    <w:rsid w:val="00F955D2"/>
    <w:rsid w:val="00FA0AA8"/>
    <w:rsid w:val="00FA0F42"/>
    <w:rsid w:val="00FA7F4A"/>
    <w:rsid w:val="00FB16FD"/>
    <w:rsid w:val="00FC074E"/>
    <w:rsid w:val="00FC149A"/>
    <w:rsid w:val="00FC32DE"/>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titul">
    <w:name w:val="Subtitle"/>
    <w:basedOn w:val="Nadpis3"/>
    <w:next w:val="Normln"/>
    <w:link w:val="PodtitulChar"/>
    <w:uiPriority w:val="11"/>
    <w:qFormat/>
    <w:rsid w:val="000C4AE5"/>
    <w:pPr>
      <w:numPr>
        <w:ilvl w:val="2"/>
        <w:numId w:val="5"/>
      </w:numPr>
      <w:spacing w:before="240" w:after="120"/>
    </w:pPr>
    <w:rPr>
      <w:caps w:val="0"/>
      <w:sz w:val="22"/>
    </w:rPr>
  </w:style>
  <w:style w:type="character" w:customStyle="1" w:styleId="PodtitulChar">
    <w:name w:val="Podtitul Char"/>
    <w:basedOn w:val="Standardnpsmoodstavce"/>
    <w:link w:val="Podtitul"/>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75211-2D68-4D1F-8F1B-1FDCA1D4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7816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Denis Tomáš, Silnice LK a.s.</cp:lastModifiedBy>
  <cp:revision>5</cp:revision>
  <dcterms:created xsi:type="dcterms:W3CDTF">2020-01-21T11:58:00Z</dcterms:created>
  <dcterms:modified xsi:type="dcterms:W3CDTF">2020-02-21T08:31:00Z</dcterms:modified>
</cp:coreProperties>
</file>