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1B110D">
        <w:rPr>
          <w:b/>
          <w:sz w:val="22"/>
          <w:szCs w:val="22"/>
        </w:rPr>
        <w:t>Rekonstrukce kanálů pro diagnostiku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DBD" w:rsidRDefault="005C3DBD" w:rsidP="0024368F">
      <w:r>
        <w:separator/>
      </w:r>
    </w:p>
  </w:endnote>
  <w:endnote w:type="continuationSeparator" w:id="0">
    <w:p w:rsidR="005C3DBD" w:rsidRDefault="005C3DB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DBD" w:rsidRDefault="005C3DBD" w:rsidP="0024368F">
      <w:r>
        <w:separator/>
      </w:r>
    </w:p>
  </w:footnote>
  <w:footnote w:type="continuationSeparator" w:id="0">
    <w:p w:rsidR="005C3DBD" w:rsidRDefault="005C3DB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ACFA9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66D43-B867-48E7-BA0C-6841CF11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Řezáčová Sylva, Ing.</cp:lastModifiedBy>
  <cp:revision>11</cp:revision>
  <cp:lastPrinted>2012-06-13T06:30:00Z</cp:lastPrinted>
  <dcterms:created xsi:type="dcterms:W3CDTF">2017-07-17T06:23:00Z</dcterms:created>
  <dcterms:modified xsi:type="dcterms:W3CDTF">2020-01-28T06:00:00Z</dcterms:modified>
</cp:coreProperties>
</file>