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DE99D" w14:textId="21AAE3D0" w:rsidR="00716DE9" w:rsidRPr="00581803" w:rsidRDefault="00642D44" w:rsidP="00FC64AB">
      <w:pPr>
        <w:keepNext/>
        <w:spacing w:before="240" w:after="60" w:line="276" w:lineRule="auto"/>
        <w:jc w:val="both"/>
        <w:outlineLvl w:val="0"/>
        <w:rPr>
          <w:b/>
          <w:kern w:val="32"/>
          <w:lang w:eastAsia="en-US"/>
        </w:rPr>
      </w:pPr>
      <w:r w:rsidRPr="00581803">
        <w:rPr>
          <w:b/>
          <w:kern w:val="32"/>
          <w:lang w:eastAsia="en-US"/>
        </w:rPr>
        <w:t xml:space="preserve">VYSVĚTLENÍ ZADÁVACÍ DOKUMENTACE Č. </w:t>
      </w:r>
      <w:r w:rsidR="00581803">
        <w:rPr>
          <w:b/>
          <w:kern w:val="32"/>
          <w:lang w:eastAsia="en-US"/>
        </w:rPr>
        <w:t>2</w:t>
      </w:r>
      <w:r w:rsidR="00CE6528" w:rsidRPr="00581803">
        <w:rPr>
          <w:b/>
          <w:kern w:val="32"/>
          <w:lang w:eastAsia="en-US"/>
        </w:rPr>
        <w:t xml:space="preserve"> </w:t>
      </w:r>
    </w:p>
    <w:p w14:paraId="2548E85A" w14:textId="79671DF8" w:rsidR="00CE6528" w:rsidRPr="00581803" w:rsidRDefault="00CE6528" w:rsidP="00FC64AB">
      <w:pPr>
        <w:keepNext/>
        <w:spacing w:before="240" w:after="60" w:line="276" w:lineRule="auto"/>
        <w:jc w:val="both"/>
        <w:outlineLvl w:val="0"/>
        <w:rPr>
          <w:b/>
          <w:kern w:val="32"/>
          <w:lang w:eastAsia="en-US"/>
        </w:rPr>
      </w:pPr>
      <w:r w:rsidRPr="00581803">
        <w:rPr>
          <w:b/>
          <w:kern w:val="32"/>
          <w:lang w:eastAsia="en-US"/>
        </w:rPr>
        <w:t>PR</w:t>
      </w:r>
      <w:r w:rsidR="00581803">
        <w:rPr>
          <w:b/>
          <w:kern w:val="32"/>
          <w:lang w:eastAsia="en-US"/>
        </w:rPr>
        <w:t>O</w:t>
      </w:r>
      <w:r w:rsidRPr="00581803">
        <w:rPr>
          <w:b/>
          <w:kern w:val="32"/>
          <w:lang w:eastAsia="en-US"/>
        </w:rPr>
        <w:t xml:space="preserve">DLOUŽENÍ </w:t>
      </w:r>
      <w:r w:rsidR="00581803">
        <w:rPr>
          <w:b/>
          <w:kern w:val="32"/>
          <w:lang w:eastAsia="en-US"/>
        </w:rPr>
        <w:t>LHŮTY PRO PODÁNÍ NABÍDEK</w:t>
      </w:r>
    </w:p>
    <w:p w14:paraId="31481C21" w14:textId="77777777" w:rsidR="00642D44" w:rsidRPr="00581803" w:rsidRDefault="00642D44" w:rsidP="00FC64AB">
      <w:pPr>
        <w:keepNext/>
        <w:spacing w:before="240" w:after="60" w:line="276" w:lineRule="auto"/>
        <w:jc w:val="both"/>
        <w:outlineLvl w:val="0"/>
        <w:rPr>
          <w:b/>
          <w:kern w:val="32"/>
          <w:lang w:eastAsia="en-US"/>
        </w:rPr>
      </w:pPr>
    </w:p>
    <w:p w14:paraId="366BEDA3" w14:textId="77777777" w:rsidR="00642D44" w:rsidRPr="00581803" w:rsidRDefault="00642D44" w:rsidP="00FC64AB">
      <w:pPr>
        <w:keepNext/>
        <w:spacing w:before="240" w:after="60" w:line="276" w:lineRule="auto"/>
        <w:jc w:val="both"/>
        <w:outlineLvl w:val="0"/>
        <w:rPr>
          <w:b/>
          <w:bCs/>
          <w:kern w:val="32"/>
          <w:lang w:eastAsia="en-US"/>
        </w:rPr>
      </w:pPr>
    </w:p>
    <w:p w14:paraId="65886346" w14:textId="59CCE71A" w:rsidR="00716DE9" w:rsidRPr="00581803" w:rsidRDefault="00AA2CBF" w:rsidP="00FC64AB">
      <w:pPr>
        <w:keepNext/>
        <w:jc w:val="both"/>
        <w:outlineLvl w:val="1"/>
        <w:rPr>
          <w:bCs/>
          <w:iCs/>
          <w:lang w:eastAsia="en-US"/>
        </w:rPr>
      </w:pPr>
      <w:r w:rsidRPr="00581803">
        <w:rPr>
          <w:bCs/>
          <w:iCs/>
          <w:lang w:eastAsia="en-US"/>
        </w:rPr>
        <w:t>pro podlimitní</w:t>
      </w:r>
      <w:r w:rsidR="00945B9F" w:rsidRPr="00581803">
        <w:rPr>
          <w:bCs/>
          <w:iCs/>
          <w:lang w:eastAsia="en-US"/>
        </w:rPr>
        <w:t xml:space="preserve"> veřejnou zakázku na </w:t>
      </w:r>
      <w:r w:rsidR="0056132F" w:rsidRPr="00581803">
        <w:rPr>
          <w:bCs/>
          <w:iCs/>
          <w:lang w:eastAsia="en-US"/>
        </w:rPr>
        <w:t>dodávky</w:t>
      </w:r>
      <w:r w:rsidR="00945B9F" w:rsidRPr="00581803">
        <w:rPr>
          <w:bCs/>
          <w:iCs/>
          <w:lang w:eastAsia="en-US"/>
        </w:rPr>
        <w:t>, zadávanou</w:t>
      </w:r>
      <w:r w:rsidR="00165C7B" w:rsidRPr="00581803">
        <w:rPr>
          <w:bCs/>
          <w:iCs/>
          <w:lang w:eastAsia="en-US"/>
        </w:rPr>
        <w:t xml:space="preserve"> </w:t>
      </w:r>
      <w:r w:rsidR="009472EF" w:rsidRPr="00581803">
        <w:rPr>
          <w:bCs/>
          <w:iCs/>
          <w:lang w:eastAsia="en-US"/>
        </w:rPr>
        <w:t>ve zjednodušeném podlimitním řízení</w:t>
      </w:r>
      <w:r w:rsidR="00165C7B" w:rsidRPr="00581803">
        <w:rPr>
          <w:bCs/>
          <w:iCs/>
          <w:lang w:eastAsia="en-US"/>
        </w:rPr>
        <w:t xml:space="preserve"> </w:t>
      </w:r>
      <w:r w:rsidR="009472EF" w:rsidRPr="00581803">
        <w:rPr>
          <w:bCs/>
          <w:iCs/>
          <w:lang w:eastAsia="en-US"/>
        </w:rPr>
        <w:t xml:space="preserve">dle </w:t>
      </w:r>
      <w:r w:rsidR="004D4B51" w:rsidRPr="00581803">
        <w:rPr>
          <w:bCs/>
          <w:iCs/>
          <w:lang w:eastAsia="en-US"/>
        </w:rPr>
        <w:t>§ 53 zákona č. 134/2016 Sb., o zadávání veřejných zakázek, ve znění pozdějších předpisů</w:t>
      </w:r>
      <w:r w:rsidR="00165C7B" w:rsidRPr="00581803">
        <w:rPr>
          <w:bCs/>
          <w:iCs/>
          <w:lang w:eastAsia="en-US"/>
        </w:rPr>
        <w:t xml:space="preserve"> </w:t>
      </w:r>
      <w:r w:rsidR="004D4B51" w:rsidRPr="00581803">
        <w:rPr>
          <w:bCs/>
          <w:iCs/>
          <w:lang w:eastAsia="en-US"/>
        </w:rPr>
        <w:t>(dále jen „zákon“)</w:t>
      </w:r>
      <w:r w:rsidR="00165C7B" w:rsidRPr="00581803">
        <w:rPr>
          <w:bCs/>
          <w:iCs/>
          <w:lang w:eastAsia="en-US"/>
        </w:rPr>
        <w:t xml:space="preserve"> </w:t>
      </w:r>
      <w:r w:rsidR="00945B9F" w:rsidRPr="00581803">
        <w:rPr>
          <w:bCs/>
          <w:iCs/>
          <w:lang w:eastAsia="en-US"/>
        </w:rPr>
        <w:t>s</w:t>
      </w:r>
      <w:r w:rsidR="00642D44" w:rsidRPr="00581803">
        <w:rPr>
          <w:bCs/>
          <w:iCs/>
          <w:lang w:eastAsia="en-US"/>
        </w:rPr>
        <w:t> </w:t>
      </w:r>
      <w:r w:rsidR="00945B9F" w:rsidRPr="00581803">
        <w:rPr>
          <w:bCs/>
          <w:iCs/>
          <w:lang w:eastAsia="en-US"/>
        </w:rPr>
        <w:t>názvem</w:t>
      </w:r>
    </w:p>
    <w:p w14:paraId="3C556533" w14:textId="77777777" w:rsidR="00642D44" w:rsidRPr="00581803" w:rsidRDefault="00642D44" w:rsidP="00FC64AB">
      <w:pPr>
        <w:keepNext/>
        <w:jc w:val="both"/>
        <w:outlineLvl w:val="1"/>
        <w:rPr>
          <w:bCs/>
          <w:iCs/>
          <w:lang w:eastAsia="en-US"/>
        </w:rPr>
      </w:pPr>
    </w:p>
    <w:p w14:paraId="3318172A" w14:textId="77777777" w:rsidR="00642D44" w:rsidRPr="00581803" w:rsidRDefault="00642D44" w:rsidP="00FC64AB">
      <w:pPr>
        <w:keepNext/>
        <w:jc w:val="both"/>
        <w:outlineLvl w:val="1"/>
        <w:rPr>
          <w:bCs/>
          <w:iCs/>
          <w:lang w:eastAsia="en-US"/>
        </w:rPr>
      </w:pPr>
    </w:p>
    <w:p w14:paraId="03D866F2" w14:textId="25883D2A" w:rsidR="002B78D5" w:rsidRPr="00581803" w:rsidRDefault="00716DE9" w:rsidP="00FC64AB">
      <w:pPr>
        <w:spacing w:before="240" w:after="200" w:line="276" w:lineRule="auto"/>
        <w:jc w:val="both"/>
        <w:rPr>
          <w:rFonts w:eastAsia="Calibri"/>
          <w:b/>
          <w:lang w:eastAsia="en-US"/>
        </w:rPr>
      </w:pPr>
      <w:r w:rsidRPr="00581803">
        <w:rPr>
          <w:rFonts w:eastAsia="Calibri"/>
          <w:b/>
          <w:lang w:eastAsia="en-US"/>
        </w:rPr>
        <w:t>„</w:t>
      </w:r>
      <w:r w:rsidR="0056132F" w:rsidRPr="00581803">
        <w:rPr>
          <w:b/>
          <w:bCs/>
        </w:rPr>
        <w:t>DODÁVKA PEČOVATELSKÝCH LŮŽEK A MATRACÍ</w:t>
      </w:r>
      <w:r w:rsidR="00BF2669" w:rsidRPr="00581803">
        <w:rPr>
          <w:b/>
        </w:rPr>
        <w:t>“</w:t>
      </w:r>
    </w:p>
    <w:p w14:paraId="1FF21042" w14:textId="77777777" w:rsidR="002B78D5" w:rsidRPr="00581803" w:rsidRDefault="002B78D5" w:rsidP="00FC64AB">
      <w:pPr>
        <w:pStyle w:val="Nadpis2"/>
        <w:rPr>
          <w:rFonts w:ascii="Times New Roman" w:hAnsi="Times New Roman"/>
          <w:sz w:val="24"/>
          <w:szCs w:val="24"/>
          <w:u w:val="single"/>
        </w:rPr>
      </w:pPr>
      <w:r w:rsidRPr="00581803">
        <w:rPr>
          <w:rFonts w:ascii="Times New Roman" w:hAnsi="Times New Roman"/>
          <w:sz w:val="24"/>
          <w:szCs w:val="24"/>
          <w:u w:val="single"/>
        </w:rPr>
        <w:t>Údaje o veřejné zakázce</w:t>
      </w:r>
    </w:p>
    <w:p w14:paraId="24666C40" w14:textId="77777777" w:rsidR="002B78D5" w:rsidRPr="00581803" w:rsidRDefault="002B78D5" w:rsidP="00FC64AB">
      <w:pPr>
        <w:jc w:val="both"/>
        <w:rPr>
          <w:lang w:eastAsia="en-US"/>
        </w:rPr>
      </w:pPr>
    </w:p>
    <w:p w14:paraId="0853968A" w14:textId="0B506F13" w:rsidR="002B78D5" w:rsidRPr="00581803" w:rsidRDefault="002B78D5" w:rsidP="00FC64AB">
      <w:pPr>
        <w:ind w:left="2832" w:hanging="2832"/>
        <w:jc w:val="both"/>
      </w:pPr>
      <w:r w:rsidRPr="00581803">
        <w:t>Název veřejné zakázky:</w:t>
      </w:r>
      <w:r w:rsidRPr="00581803">
        <w:tab/>
      </w:r>
      <w:r w:rsidR="0056132F" w:rsidRPr="00581803">
        <w:rPr>
          <w:b/>
          <w:bCs/>
        </w:rPr>
        <w:t>DODÁVKA PEČOVATELSKÝCH LŮŽEK A MATRACÍ</w:t>
      </w:r>
    </w:p>
    <w:p w14:paraId="09C2E3F5" w14:textId="77777777" w:rsidR="002B78D5" w:rsidRPr="00581803" w:rsidRDefault="002B78D5" w:rsidP="00FC64AB">
      <w:pPr>
        <w:ind w:left="2832" w:hanging="2832"/>
        <w:jc w:val="both"/>
      </w:pPr>
      <w:r w:rsidRPr="00581803">
        <w:t>Druh zadávacího řízení:</w:t>
      </w:r>
      <w:r w:rsidRPr="00581803">
        <w:tab/>
        <w:t>Zjednodušené podlimitní řízení</w:t>
      </w:r>
    </w:p>
    <w:p w14:paraId="14AFEDD9" w14:textId="4C3757F7" w:rsidR="002B78D5" w:rsidRPr="00581803" w:rsidRDefault="002B78D5" w:rsidP="00FC64AB">
      <w:pPr>
        <w:ind w:left="2832" w:hanging="2832"/>
        <w:jc w:val="both"/>
      </w:pPr>
      <w:r w:rsidRPr="00581803">
        <w:t>Předmět veřejné zakázky:</w:t>
      </w:r>
      <w:r w:rsidRPr="00581803">
        <w:tab/>
      </w:r>
      <w:r w:rsidR="0056132F" w:rsidRPr="00581803">
        <w:t>Dodávky</w:t>
      </w:r>
    </w:p>
    <w:p w14:paraId="228BA569" w14:textId="5E42035F" w:rsidR="002B78D5" w:rsidRPr="00581803" w:rsidRDefault="002B78D5" w:rsidP="00FC64AB">
      <w:pPr>
        <w:ind w:left="2832" w:hanging="2832"/>
        <w:jc w:val="both"/>
      </w:pPr>
      <w:r w:rsidRPr="00581803">
        <w:t>Režim veřejné zakázky:</w:t>
      </w:r>
      <w:r w:rsidRPr="00581803">
        <w:tab/>
        <w:t>Podlimitní</w:t>
      </w:r>
    </w:p>
    <w:p w14:paraId="3E8A64A3" w14:textId="77777777" w:rsidR="00CE6528" w:rsidRPr="00581803" w:rsidRDefault="00CE6528" w:rsidP="00FC64AB">
      <w:pPr>
        <w:pStyle w:val="Nadpis2"/>
        <w:rPr>
          <w:rFonts w:ascii="Times New Roman" w:hAnsi="Times New Roman"/>
          <w:sz w:val="24"/>
          <w:szCs w:val="24"/>
          <w:u w:val="single"/>
        </w:rPr>
      </w:pPr>
      <w:bookmarkStart w:id="0" w:name="_Toc527104720"/>
      <w:bookmarkStart w:id="1" w:name="_Toc34173514"/>
      <w:r w:rsidRPr="00581803">
        <w:rPr>
          <w:rFonts w:ascii="Times New Roman" w:hAnsi="Times New Roman"/>
          <w:sz w:val="24"/>
          <w:szCs w:val="24"/>
          <w:u w:val="single"/>
        </w:rPr>
        <w:t>Identifikační údaje zadavatele</w:t>
      </w:r>
      <w:bookmarkEnd w:id="0"/>
      <w:bookmarkEnd w:id="1"/>
    </w:p>
    <w:p w14:paraId="2A7D4220" w14:textId="77777777" w:rsidR="0056132F" w:rsidRPr="00581803" w:rsidRDefault="0056132F" w:rsidP="00FC64AB">
      <w:pPr>
        <w:jc w:val="both"/>
      </w:pPr>
      <w:bookmarkStart w:id="2" w:name="_Toc527104721"/>
      <w:r w:rsidRPr="00581803">
        <w:t>Název Zadavatele:</w:t>
      </w:r>
      <w:r w:rsidRPr="00581803">
        <w:tab/>
        <w:t xml:space="preserve">Centrum sociálních služeb Znojmo, příspěvková organizace </w:t>
      </w:r>
    </w:p>
    <w:p w14:paraId="225E83BE" w14:textId="77777777" w:rsidR="0056132F" w:rsidRPr="00581803" w:rsidRDefault="0056132F" w:rsidP="00FC64AB">
      <w:pPr>
        <w:jc w:val="both"/>
      </w:pPr>
      <w:r w:rsidRPr="00581803">
        <w:t>Sídlo:</w:t>
      </w:r>
      <w:r w:rsidRPr="00581803">
        <w:tab/>
      </w:r>
      <w:r w:rsidRPr="00581803">
        <w:tab/>
      </w:r>
      <w:r w:rsidRPr="00581803">
        <w:tab/>
        <w:t>U Lesíka 3547/11, Znojmo 669 02</w:t>
      </w:r>
    </w:p>
    <w:p w14:paraId="1EF0D9C1" w14:textId="77777777" w:rsidR="0056132F" w:rsidRPr="00581803" w:rsidRDefault="0056132F" w:rsidP="00FC64AB">
      <w:pPr>
        <w:jc w:val="both"/>
      </w:pPr>
      <w:r w:rsidRPr="00581803">
        <w:t>Zastoupený:</w:t>
      </w:r>
      <w:r w:rsidRPr="00581803">
        <w:tab/>
      </w:r>
      <w:r w:rsidRPr="00581803">
        <w:tab/>
        <w:t xml:space="preserve">Mgr. Radka </w:t>
      </w:r>
      <w:proofErr w:type="spellStart"/>
      <w:r w:rsidRPr="00581803">
        <w:t>Sovjáková</w:t>
      </w:r>
      <w:proofErr w:type="spellEnd"/>
      <w:r w:rsidRPr="00581803">
        <w:t>, ředitelka organizace</w:t>
      </w:r>
    </w:p>
    <w:p w14:paraId="18DE90C4" w14:textId="77777777" w:rsidR="0056132F" w:rsidRPr="00581803" w:rsidRDefault="0056132F" w:rsidP="00FC64AB">
      <w:pPr>
        <w:jc w:val="both"/>
      </w:pPr>
      <w:r w:rsidRPr="00581803">
        <w:t xml:space="preserve">IČ: </w:t>
      </w:r>
      <w:r w:rsidRPr="00581803">
        <w:tab/>
      </w:r>
      <w:r w:rsidRPr="00581803">
        <w:tab/>
      </w:r>
      <w:r w:rsidRPr="00581803">
        <w:tab/>
        <w:t>45671770</w:t>
      </w:r>
    </w:p>
    <w:p w14:paraId="2D6465E7" w14:textId="77777777" w:rsidR="0056132F" w:rsidRPr="00581803" w:rsidRDefault="0056132F" w:rsidP="00FC64AB">
      <w:pPr>
        <w:jc w:val="both"/>
      </w:pPr>
      <w:r w:rsidRPr="00581803">
        <w:t>DIČ:</w:t>
      </w:r>
      <w:r w:rsidRPr="00581803">
        <w:tab/>
      </w:r>
      <w:r w:rsidRPr="00581803">
        <w:tab/>
      </w:r>
      <w:r w:rsidRPr="00581803">
        <w:tab/>
        <w:t>CZ45671770</w:t>
      </w:r>
    </w:p>
    <w:p w14:paraId="7FA61951" w14:textId="77777777" w:rsidR="0056132F" w:rsidRPr="00581803" w:rsidRDefault="0056132F" w:rsidP="00FC64AB">
      <w:pPr>
        <w:jc w:val="both"/>
      </w:pPr>
      <w:r w:rsidRPr="00581803">
        <w:t>Bankovní spojení:</w:t>
      </w:r>
      <w:r w:rsidRPr="00581803">
        <w:tab/>
        <w:t>……………….</w:t>
      </w:r>
    </w:p>
    <w:p w14:paraId="222646CB" w14:textId="77777777" w:rsidR="0056132F" w:rsidRPr="00581803" w:rsidRDefault="0056132F" w:rsidP="00FC64AB">
      <w:pPr>
        <w:jc w:val="both"/>
      </w:pPr>
      <w:r w:rsidRPr="00581803">
        <w:t>Webové stránky:</w:t>
      </w:r>
      <w:r w:rsidRPr="00581803">
        <w:tab/>
      </w:r>
      <w:hyperlink r:id="rId8" w:history="1">
        <w:r w:rsidRPr="00581803">
          <w:rPr>
            <w:rStyle w:val="Hypertextovodkaz"/>
          </w:rPr>
          <w:t>www.cssznojmo.cz</w:t>
        </w:r>
      </w:hyperlink>
    </w:p>
    <w:p w14:paraId="134DD993" w14:textId="43B051E1" w:rsidR="00CE6528" w:rsidRPr="00581803" w:rsidRDefault="0056132F" w:rsidP="00FC64AB">
      <w:pPr>
        <w:jc w:val="both"/>
      </w:pPr>
      <w:r w:rsidRPr="00581803">
        <w:t>Profil zadavatele:</w:t>
      </w:r>
      <w:r w:rsidRPr="00581803">
        <w:tab/>
      </w:r>
      <w:hyperlink r:id="rId9" w:history="1">
        <w:r w:rsidRPr="00581803">
          <w:rPr>
            <w:rStyle w:val="Hypertextovodkaz"/>
          </w:rPr>
          <w:t>http://profily.proebiz.com/profile/45671770</w:t>
        </w:r>
      </w:hyperlink>
    </w:p>
    <w:p w14:paraId="2CA0A323" w14:textId="77777777" w:rsidR="00CE6528" w:rsidRPr="00581803" w:rsidRDefault="00CE6528" w:rsidP="00FC64AB">
      <w:pPr>
        <w:pStyle w:val="Nadpis2"/>
        <w:rPr>
          <w:rFonts w:ascii="Times New Roman" w:hAnsi="Times New Roman"/>
          <w:sz w:val="24"/>
          <w:szCs w:val="24"/>
          <w:u w:val="single"/>
        </w:rPr>
      </w:pPr>
      <w:bookmarkStart w:id="3" w:name="_Toc34173515"/>
      <w:r w:rsidRPr="00581803">
        <w:rPr>
          <w:rFonts w:ascii="Times New Roman" w:hAnsi="Times New Roman"/>
          <w:sz w:val="24"/>
          <w:szCs w:val="24"/>
          <w:u w:val="single"/>
        </w:rPr>
        <w:t>Identifikační údaje zástupce zadavatele</w:t>
      </w:r>
      <w:bookmarkEnd w:id="2"/>
      <w:bookmarkEnd w:id="3"/>
    </w:p>
    <w:p w14:paraId="299F3B2D" w14:textId="77777777" w:rsidR="00CE6528" w:rsidRPr="00581803" w:rsidRDefault="00CE6528" w:rsidP="00FC64AB">
      <w:pPr>
        <w:jc w:val="both"/>
      </w:pPr>
      <w:r w:rsidRPr="00581803">
        <w:t>Obchodní firma:</w:t>
      </w:r>
      <w:r w:rsidRPr="00581803">
        <w:tab/>
        <w:t xml:space="preserve">OPTIMAL </w:t>
      </w:r>
      <w:proofErr w:type="spellStart"/>
      <w:r w:rsidRPr="00581803">
        <w:t>Consulting</w:t>
      </w:r>
      <w:proofErr w:type="spellEnd"/>
      <w:r w:rsidRPr="00581803">
        <w:t>, s.r.o.</w:t>
      </w:r>
    </w:p>
    <w:p w14:paraId="5CADEF6F" w14:textId="77777777" w:rsidR="00CE6528" w:rsidRPr="00581803" w:rsidRDefault="00CE6528" w:rsidP="00FC64AB">
      <w:pPr>
        <w:jc w:val="both"/>
      </w:pPr>
      <w:r w:rsidRPr="00581803">
        <w:t>Sídlo:</w:t>
      </w:r>
      <w:r w:rsidRPr="00581803">
        <w:tab/>
      </w:r>
      <w:r w:rsidRPr="00581803">
        <w:tab/>
      </w:r>
      <w:r w:rsidRPr="00581803">
        <w:tab/>
        <w:t xml:space="preserve">Podmolí 23, Znojmo 669 02 </w:t>
      </w:r>
    </w:p>
    <w:p w14:paraId="17C7571C" w14:textId="77777777" w:rsidR="00CE6528" w:rsidRPr="00581803" w:rsidRDefault="00CE6528" w:rsidP="00FC64AB">
      <w:pPr>
        <w:jc w:val="both"/>
      </w:pPr>
      <w:r w:rsidRPr="00581803">
        <w:t>Právní forma:</w:t>
      </w:r>
      <w:r w:rsidRPr="00581803">
        <w:tab/>
      </w:r>
      <w:r w:rsidRPr="00581803">
        <w:tab/>
        <w:t>společnost s ručením omezeným</w:t>
      </w:r>
    </w:p>
    <w:p w14:paraId="55658238" w14:textId="77777777" w:rsidR="00CE6528" w:rsidRPr="00581803" w:rsidRDefault="00CE6528" w:rsidP="00FC64AB">
      <w:pPr>
        <w:jc w:val="both"/>
      </w:pPr>
      <w:r w:rsidRPr="00581803">
        <w:t>IČ:</w:t>
      </w:r>
      <w:r w:rsidRPr="00581803">
        <w:tab/>
      </w:r>
      <w:r w:rsidRPr="00581803">
        <w:tab/>
      </w:r>
      <w:r w:rsidRPr="00581803">
        <w:tab/>
        <w:t>29268087</w:t>
      </w:r>
    </w:p>
    <w:p w14:paraId="32418F43" w14:textId="77777777" w:rsidR="00CE6528" w:rsidRPr="00581803" w:rsidRDefault="00CE6528" w:rsidP="00FC64AB">
      <w:pPr>
        <w:jc w:val="both"/>
      </w:pPr>
      <w:r w:rsidRPr="00581803">
        <w:t>Kontaktní osoba:</w:t>
      </w:r>
      <w:r w:rsidRPr="00581803">
        <w:tab/>
        <w:t>Ing. Tomášem Šturala, jednatel společnosti</w:t>
      </w:r>
    </w:p>
    <w:p w14:paraId="1821CCEB" w14:textId="77777777" w:rsidR="00CE6528" w:rsidRPr="00581803" w:rsidRDefault="00CE6528" w:rsidP="00FC64AB">
      <w:pPr>
        <w:jc w:val="both"/>
      </w:pPr>
      <w:r w:rsidRPr="00581803">
        <w:t>e-mail:</w:t>
      </w:r>
      <w:r w:rsidRPr="00581803">
        <w:tab/>
      </w:r>
      <w:r w:rsidRPr="00581803">
        <w:tab/>
      </w:r>
      <w:r w:rsidRPr="00581803">
        <w:tab/>
        <w:t>info@optimalconsulting.cz</w:t>
      </w:r>
    </w:p>
    <w:p w14:paraId="63BF0319" w14:textId="177732D8" w:rsidR="00CE6528" w:rsidRPr="00581803" w:rsidRDefault="00CE6528" w:rsidP="00FC64AB">
      <w:pPr>
        <w:jc w:val="both"/>
      </w:pPr>
      <w:r w:rsidRPr="00581803">
        <w:t>tel.:</w:t>
      </w:r>
      <w:r w:rsidRPr="00581803">
        <w:tab/>
      </w:r>
      <w:r w:rsidRPr="00581803">
        <w:tab/>
      </w:r>
      <w:r w:rsidRPr="00581803">
        <w:tab/>
      </w:r>
      <w:r w:rsidRPr="00581803">
        <w:rPr>
          <w:rStyle w:val="Hypertextovodkaz"/>
        </w:rPr>
        <w:t>731 623 492</w:t>
      </w:r>
    </w:p>
    <w:p w14:paraId="1623E9BA" w14:textId="77777777" w:rsidR="00DB23C9" w:rsidRPr="00581803" w:rsidRDefault="00DB23C9" w:rsidP="00FC64AB">
      <w:pPr>
        <w:spacing w:after="200" w:line="276" w:lineRule="auto"/>
        <w:jc w:val="both"/>
        <w:rPr>
          <w:rFonts w:eastAsia="Calibri"/>
          <w:lang w:eastAsia="en-US"/>
        </w:rPr>
      </w:pPr>
    </w:p>
    <w:p w14:paraId="7ACA3040" w14:textId="77777777" w:rsidR="00B941FF" w:rsidRPr="00581803" w:rsidRDefault="00B941FF" w:rsidP="00FC64AB">
      <w:pPr>
        <w:spacing w:after="200" w:line="276" w:lineRule="auto"/>
        <w:jc w:val="both"/>
        <w:rPr>
          <w:rFonts w:eastAsia="Calibri"/>
          <w:lang w:eastAsia="en-US"/>
        </w:rPr>
      </w:pPr>
    </w:p>
    <w:p w14:paraId="2E2A7582" w14:textId="77777777" w:rsidR="00581803" w:rsidRDefault="00581803">
      <w:pPr>
        <w:rPr>
          <w:rFonts w:eastAsia="Calibri"/>
          <w:lang w:eastAsia="en-US"/>
        </w:rPr>
      </w:pPr>
      <w:r>
        <w:rPr>
          <w:rFonts w:eastAsia="Calibri"/>
          <w:lang w:eastAsia="en-US"/>
        </w:rPr>
        <w:br w:type="page"/>
      </w:r>
    </w:p>
    <w:p w14:paraId="39AA037B" w14:textId="243F5EF4" w:rsidR="00DB23C9" w:rsidRPr="00581803" w:rsidRDefault="002B78D5" w:rsidP="00FC64AB">
      <w:pPr>
        <w:spacing w:after="200" w:line="276" w:lineRule="auto"/>
        <w:jc w:val="both"/>
        <w:rPr>
          <w:rFonts w:eastAsia="Calibri"/>
          <w:lang w:eastAsia="en-US"/>
        </w:rPr>
      </w:pPr>
      <w:r w:rsidRPr="00581803">
        <w:rPr>
          <w:rFonts w:eastAsia="Calibri"/>
          <w:lang w:eastAsia="en-US"/>
        </w:rPr>
        <w:lastRenderedPageBreak/>
        <w:t>Výše uveden</w:t>
      </w:r>
      <w:r w:rsidR="00995F5E" w:rsidRPr="00581803">
        <w:rPr>
          <w:rFonts w:eastAsia="Calibri"/>
          <w:lang w:eastAsia="en-US"/>
        </w:rPr>
        <w:t>ý</w:t>
      </w:r>
      <w:r w:rsidRPr="00581803">
        <w:rPr>
          <w:rFonts w:eastAsia="Calibri"/>
          <w:lang w:eastAsia="en-US"/>
        </w:rPr>
        <w:t xml:space="preserve"> zadavatel v souladu s ustanovením § 98 resp. § 54 odst. 5 zákona č. 134/2016 Sb., o zadávání veřejných zakázek, ve znění pozdějších předpisů, (dále jen „zákon</w:t>
      </w:r>
      <w:r w:rsidR="00886F1C" w:rsidRPr="00581803">
        <w:rPr>
          <w:rFonts w:eastAsia="Calibri"/>
          <w:lang w:eastAsia="en-US"/>
        </w:rPr>
        <w:t>“</w:t>
      </w:r>
      <w:r w:rsidRPr="00581803">
        <w:rPr>
          <w:rFonts w:eastAsia="Calibri"/>
          <w:lang w:eastAsia="en-US"/>
        </w:rPr>
        <w:t xml:space="preserve">), </w:t>
      </w:r>
      <w:r w:rsidR="00886F1C" w:rsidRPr="00581803">
        <w:rPr>
          <w:rFonts w:eastAsia="Calibri"/>
          <w:lang w:eastAsia="en-US"/>
        </w:rPr>
        <w:t xml:space="preserve">poskytuje k žádosti </w:t>
      </w:r>
      <w:r w:rsidRPr="00581803">
        <w:rPr>
          <w:rFonts w:eastAsia="Calibri"/>
          <w:lang w:eastAsia="en-US"/>
        </w:rPr>
        <w:t xml:space="preserve">následující </w:t>
      </w:r>
      <w:r w:rsidR="00886F1C" w:rsidRPr="00581803">
        <w:rPr>
          <w:rFonts w:eastAsia="Calibri"/>
          <w:lang w:eastAsia="en-US"/>
        </w:rPr>
        <w:t>vysvětlení</w:t>
      </w:r>
      <w:r w:rsidR="00642D44" w:rsidRPr="00581803">
        <w:rPr>
          <w:rFonts w:eastAsia="Calibri"/>
          <w:lang w:eastAsia="en-US"/>
        </w:rPr>
        <w:t xml:space="preserve"> zadávací dokumentace vztahující se k výše uvedené veřejné zakázce</w:t>
      </w:r>
      <w:r w:rsidR="00886F1C" w:rsidRPr="00581803">
        <w:rPr>
          <w:rFonts w:eastAsia="Calibri"/>
          <w:lang w:eastAsia="en-US"/>
        </w:rPr>
        <w:t>:</w:t>
      </w:r>
    </w:p>
    <w:p w14:paraId="35A4DEF4" w14:textId="77777777" w:rsidR="00FC64AB" w:rsidRPr="00581803" w:rsidRDefault="00FC64AB" w:rsidP="00FC64AB">
      <w:pPr>
        <w:jc w:val="both"/>
        <w:rPr>
          <w:b/>
          <w:bCs/>
          <w:lang w:val="en-US"/>
        </w:rPr>
      </w:pPr>
    </w:p>
    <w:p w14:paraId="66052562" w14:textId="07D5F1AB" w:rsidR="000C6F00" w:rsidRPr="00581803" w:rsidRDefault="000C6F00" w:rsidP="00FC64AB">
      <w:pPr>
        <w:jc w:val="both"/>
        <w:rPr>
          <w:b/>
          <w:bCs/>
          <w:lang w:val="en-US"/>
        </w:rPr>
      </w:pPr>
      <w:r w:rsidRPr="00581803">
        <w:rPr>
          <w:b/>
          <w:bCs/>
          <w:lang w:val="en-US"/>
        </w:rPr>
        <w:t>1.</w:t>
      </w:r>
    </w:p>
    <w:p w14:paraId="5D6429D3" w14:textId="2DBDD0EF" w:rsidR="00886F1C" w:rsidRPr="00581803" w:rsidRDefault="00886F1C" w:rsidP="00FC64AB">
      <w:pPr>
        <w:jc w:val="both"/>
        <w:rPr>
          <w:b/>
          <w:bCs/>
        </w:rPr>
      </w:pPr>
      <w:r w:rsidRPr="00581803">
        <w:rPr>
          <w:b/>
          <w:bCs/>
          <w:lang w:val="en-US"/>
        </w:rPr>
        <w:t>[</w:t>
      </w:r>
      <w:proofErr w:type="spellStart"/>
      <w:r w:rsidRPr="0082283A">
        <w:rPr>
          <w:b/>
          <w:bCs/>
          <w:lang w:val="en-US"/>
        </w:rPr>
        <w:t>Tazatel</w:t>
      </w:r>
      <w:proofErr w:type="spellEnd"/>
      <w:r w:rsidRPr="0082283A">
        <w:rPr>
          <w:b/>
          <w:bCs/>
          <w:lang w:val="en-US"/>
        </w:rPr>
        <w:t xml:space="preserve"> v </w:t>
      </w:r>
      <w:proofErr w:type="spellStart"/>
      <w:r w:rsidRPr="0082283A">
        <w:rPr>
          <w:b/>
          <w:bCs/>
          <w:lang w:val="en-US"/>
        </w:rPr>
        <w:t>úvodu</w:t>
      </w:r>
      <w:proofErr w:type="spellEnd"/>
      <w:r w:rsidRPr="0082283A">
        <w:rPr>
          <w:b/>
          <w:bCs/>
          <w:lang w:val="en-US"/>
        </w:rPr>
        <w:t xml:space="preserve"> </w:t>
      </w:r>
      <w:proofErr w:type="spellStart"/>
      <w:r w:rsidRPr="0082283A">
        <w:rPr>
          <w:b/>
          <w:bCs/>
          <w:lang w:val="en-US"/>
        </w:rPr>
        <w:t>rekapituluje</w:t>
      </w:r>
      <w:proofErr w:type="spellEnd"/>
      <w:r w:rsidRPr="0082283A">
        <w:rPr>
          <w:b/>
          <w:bCs/>
          <w:lang w:val="en-US"/>
        </w:rPr>
        <w:t xml:space="preserve"> co je v </w:t>
      </w:r>
      <w:proofErr w:type="spellStart"/>
      <w:r w:rsidRPr="0082283A">
        <w:rPr>
          <w:b/>
          <w:bCs/>
          <w:lang w:val="en-US"/>
        </w:rPr>
        <w:t>rámci</w:t>
      </w:r>
      <w:proofErr w:type="spellEnd"/>
      <w:r w:rsidRPr="0082283A">
        <w:rPr>
          <w:b/>
          <w:bCs/>
          <w:lang w:val="en-US"/>
        </w:rPr>
        <w:t xml:space="preserve"> VZ </w:t>
      </w:r>
      <w:proofErr w:type="spellStart"/>
      <w:r w:rsidRPr="0082283A">
        <w:rPr>
          <w:b/>
          <w:bCs/>
          <w:lang w:val="en-US"/>
        </w:rPr>
        <w:t>poptáváno</w:t>
      </w:r>
      <w:proofErr w:type="spellEnd"/>
      <w:r w:rsidRPr="0082283A">
        <w:rPr>
          <w:b/>
          <w:bCs/>
          <w:lang w:val="en-US"/>
        </w:rPr>
        <w:t xml:space="preserve"> a </w:t>
      </w:r>
      <w:proofErr w:type="spellStart"/>
      <w:r w:rsidRPr="0082283A">
        <w:rPr>
          <w:b/>
          <w:bCs/>
          <w:lang w:val="en-US"/>
        </w:rPr>
        <w:t>upozorňuje</w:t>
      </w:r>
      <w:proofErr w:type="spellEnd"/>
      <w:r w:rsidRPr="0082283A">
        <w:rPr>
          <w:b/>
          <w:bCs/>
          <w:lang w:val="en-US"/>
        </w:rPr>
        <w:t xml:space="preserve"> na </w:t>
      </w:r>
      <w:proofErr w:type="spellStart"/>
      <w:r w:rsidRPr="0082283A">
        <w:rPr>
          <w:b/>
          <w:bCs/>
          <w:lang w:val="en-US"/>
        </w:rPr>
        <w:t>rozhodocací</w:t>
      </w:r>
      <w:proofErr w:type="spellEnd"/>
      <w:r w:rsidRPr="0082283A">
        <w:rPr>
          <w:b/>
          <w:bCs/>
          <w:lang w:val="en-US"/>
        </w:rPr>
        <w:t xml:space="preserve"> praxis ÚOHS </w:t>
      </w:r>
      <w:proofErr w:type="spellStart"/>
      <w:r w:rsidRPr="0082283A">
        <w:rPr>
          <w:b/>
          <w:bCs/>
          <w:lang w:val="en-US"/>
        </w:rPr>
        <w:t>ohledně</w:t>
      </w:r>
      <w:proofErr w:type="spellEnd"/>
      <w:r w:rsidRPr="0082283A">
        <w:rPr>
          <w:b/>
          <w:bCs/>
          <w:lang w:val="en-US"/>
        </w:rPr>
        <w:t xml:space="preserve"> (ne)</w:t>
      </w:r>
      <w:proofErr w:type="spellStart"/>
      <w:r w:rsidRPr="0082283A">
        <w:rPr>
          <w:b/>
          <w:bCs/>
          <w:lang w:val="en-US"/>
        </w:rPr>
        <w:t>dělení</w:t>
      </w:r>
      <w:proofErr w:type="spellEnd"/>
      <w:r w:rsidRPr="0082283A">
        <w:rPr>
          <w:b/>
          <w:bCs/>
          <w:lang w:val="en-US"/>
        </w:rPr>
        <w:t xml:space="preserve"> </w:t>
      </w:r>
      <w:proofErr w:type="spellStart"/>
      <w:r w:rsidRPr="0082283A">
        <w:rPr>
          <w:b/>
          <w:bCs/>
          <w:lang w:val="en-US"/>
        </w:rPr>
        <w:t>zakázek</w:t>
      </w:r>
      <w:proofErr w:type="spellEnd"/>
      <w:r w:rsidRPr="0082283A">
        <w:rPr>
          <w:b/>
          <w:bCs/>
          <w:lang w:val="en-US"/>
        </w:rPr>
        <w:t xml:space="preserve">, </w:t>
      </w:r>
      <w:proofErr w:type="spellStart"/>
      <w:r w:rsidRPr="0082283A">
        <w:rPr>
          <w:b/>
          <w:bCs/>
          <w:lang w:val="en-US"/>
        </w:rPr>
        <w:t>zejm</w:t>
      </w:r>
      <w:proofErr w:type="spellEnd"/>
      <w:r w:rsidRPr="0082283A">
        <w:rPr>
          <w:b/>
          <w:bCs/>
          <w:lang w:val="en-US"/>
        </w:rPr>
        <w:t>. ÚOHS-R</w:t>
      </w:r>
      <w:r w:rsidR="00995F5E" w:rsidRPr="0082283A">
        <w:rPr>
          <w:b/>
          <w:bCs/>
          <w:lang w:val="en-US"/>
        </w:rPr>
        <w:t>0</w:t>
      </w:r>
      <w:r w:rsidRPr="0082283A">
        <w:rPr>
          <w:b/>
          <w:bCs/>
          <w:lang w:val="en-US"/>
        </w:rPr>
        <w:t>294/2016/VZ-33140/2017/321/</w:t>
      </w:r>
      <w:proofErr w:type="spellStart"/>
      <w:r w:rsidRPr="0082283A">
        <w:rPr>
          <w:b/>
          <w:bCs/>
          <w:lang w:val="en-US"/>
        </w:rPr>
        <w:t>ZSř</w:t>
      </w:r>
      <w:proofErr w:type="spellEnd"/>
      <w:r w:rsidRPr="0082283A">
        <w:rPr>
          <w:b/>
          <w:bCs/>
          <w:lang w:val="en-US"/>
        </w:rPr>
        <w:t xml:space="preserve"> a </w:t>
      </w:r>
      <w:proofErr w:type="spellStart"/>
      <w:r w:rsidRPr="0082283A">
        <w:rPr>
          <w:b/>
          <w:bCs/>
          <w:lang w:val="en-US"/>
        </w:rPr>
        <w:t>rozsudek</w:t>
      </w:r>
      <w:proofErr w:type="spellEnd"/>
      <w:r w:rsidRPr="0082283A">
        <w:rPr>
          <w:b/>
          <w:bCs/>
          <w:lang w:val="en-US"/>
        </w:rPr>
        <w:t xml:space="preserve"> KS Brno </w:t>
      </w:r>
      <w:proofErr w:type="spellStart"/>
      <w:r w:rsidRPr="0082283A">
        <w:rPr>
          <w:b/>
          <w:bCs/>
          <w:lang w:val="en-US"/>
        </w:rPr>
        <w:t>č.j</w:t>
      </w:r>
      <w:proofErr w:type="spellEnd"/>
      <w:r w:rsidRPr="0082283A">
        <w:rPr>
          <w:b/>
          <w:bCs/>
          <w:lang w:val="en-US"/>
        </w:rPr>
        <w:t xml:space="preserve">. 62 </w:t>
      </w:r>
      <w:proofErr w:type="spellStart"/>
      <w:r w:rsidRPr="0082283A">
        <w:rPr>
          <w:b/>
          <w:bCs/>
          <w:lang w:val="en-US"/>
        </w:rPr>
        <w:t>Af</w:t>
      </w:r>
      <w:proofErr w:type="spellEnd"/>
      <w:r w:rsidRPr="0082283A">
        <w:rPr>
          <w:b/>
          <w:bCs/>
          <w:lang w:val="en-US"/>
        </w:rPr>
        <w:t xml:space="preserve"> 7/2010]</w:t>
      </w:r>
    </w:p>
    <w:p w14:paraId="4A5465D1" w14:textId="155C6E40" w:rsidR="00FD0495" w:rsidRPr="00581803" w:rsidRDefault="00886F1C" w:rsidP="00FC64AB">
      <w:pPr>
        <w:jc w:val="both"/>
        <w:rPr>
          <w:b/>
          <w:bCs/>
        </w:rPr>
      </w:pPr>
      <w:r w:rsidRPr="00581803">
        <w:rPr>
          <w:b/>
          <w:bCs/>
        </w:rPr>
        <w:t>Nemá zadavatel v úmyslu rozdělit dodatečně zakázku na části?</w:t>
      </w:r>
    </w:p>
    <w:p w14:paraId="15FE41ED" w14:textId="5633EF2C" w:rsidR="00B60E83" w:rsidRPr="00581803" w:rsidRDefault="00B60E83" w:rsidP="00FC64AB">
      <w:pPr>
        <w:jc w:val="both"/>
      </w:pPr>
    </w:p>
    <w:p w14:paraId="216B4F2A" w14:textId="2CC8D27B" w:rsidR="00B60E83" w:rsidRPr="00581803" w:rsidRDefault="00B60E83" w:rsidP="00FC64AB">
      <w:pPr>
        <w:jc w:val="both"/>
      </w:pPr>
    </w:p>
    <w:p w14:paraId="67C15179" w14:textId="77777777" w:rsidR="000C6F00" w:rsidRPr="00581803" w:rsidRDefault="00995F5E" w:rsidP="00FC64AB">
      <w:pPr>
        <w:jc w:val="both"/>
      </w:pPr>
      <w:r w:rsidRPr="00581803">
        <w:t xml:space="preserve">Zadavatel trvá na veřejné zakázce nedělené na části. </w:t>
      </w:r>
    </w:p>
    <w:p w14:paraId="261D3C9A" w14:textId="77777777" w:rsidR="0082283A" w:rsidRDefault="00995F5E" w:rsidP="00FC64AB">
      <w:pPr>
        <w:jc w:val="both"/>
      </w:pPr>
      <w:r w:rsidRPr="00581803">
        <w:t xml:space="preserve">Tazatelem zmiňovaná rozhodovací praxe je jistě v obecné rovině platná, nicméně nemá relevanci pro předmětnou veřejnou zakázku. </w:t>
      </w:r>
      <w:r w:rsidR="00014B86" w:rsidRPr="00581803">
        <w:t xml:space="preserve">V odkazovaných případech se jednalo o zakázky, kdy šlo o skutečně nesouvisející plnění, slovy ÚOHS se jednalo o </w:t>
      </w:r>
      <w:r w:rsidR="00014B86" w:rsidRPr="00581803">
        <w:rPr>
          <w:i/>
          <w:iCs/>
        </w:rPr>
        <w:t>dva samostatné druhy výrobků</w:t>
      </w:r>
      <w:r w:rsidR="00014B86" w:rsidRPr="00581803">
        <w:t xml:space="preserve">, </w:t>
      </w:r>
      <w:r w:rsidR="00014B86" w:rsidRPr="00581803">
        <w:rPr>
          <w:i/>
          <w:iCs/>
        </w:rPr>
        <w:t>bez nutnosti funkčního propojení</w:t>
      </w:r>
      <w:r w:rsidR="000C6F00" w:rsidRPr="00581803">
        <w:t xml:space="preserve">; </w:t>
      </w:r>
      <w:r w:rsidR="00014B86" w:rsidRPr="00581803">
        <w:t xml:space="preserve">v citovaném rozsudku se pak jednalo o nákup, kdy bylo v rámci VZ bez rozdělení na části nakupováno od dezinfekcí přes rukavice až po léčiva. V obou </w:t>
      </w:r>
      <w:r w:rsidR="000C6F00" w:rsidRPr="00581803">
        <w:t>případech se tedy jednalo o naprosto extrémní případy, kdy zadavatelé slučovali předměty spolu funkčně nesouvisející a v tomto kontextu je pak třeba chápat i tazatelem citované pasáže</w:t>
      </w:r>
      <w:r w:rsidR="0082283A">
        <w:t xml:space="preserve"> rozhodnutí</w:t>
      </w:r>
      <w:r w:rsidR="000C6F00" w:rsidRPr="00581803">
        <w:t xml:space="preserve">. </w:t>
      </w:r>
    </w:p>
    <w:p w14:paraId="6F5E550B" w14:textId="502136E3" w:rsidR="000C6F00" w:rsidRPr="00581803" w:rsidRDefault="000C6F00" w:rsidP="00FC64AB">
      <w:pPr>
        <w:jc w:val="both"/>
      </w:pPr>
      <w:r w:rsidRPr="00581803">
        <w:t xml:space="preserve">To samozřejmě není případ této veřejné zakázky, kde jsou poptávány výrobky spolu související funkčně (postele, matrace, ovladače) i servisně-provozně (lůžka dvou </w:t>
      </w:r>
      <w:r w:rsidR="0082283A">
        <w:t xml:space="preserve">rozměrových </w:t>
      </w:r>
      <w:r w:rsidRPr="00581803">
        <w:t>provedení). Z</w:t>
      </w:r>
      <w:r w:rsidR="0082283A">
        <w:t>adavateli tedy není jasné, kde vidí tazatel prostor pro vhodné (nebo snad dokonce nutné)</w:t>
      </w:r>
      <w:r w:rsidRPr="00581803">
        <w:t> </w:t>
      </w:r>
      <w:r w:rsidR="0082283A">
        <w:t xml:space="preserve">rozdělení předmětu plnění, a ani z </w:t>
      </w:r>
      <w:r w:rsidRPr="00581803">
        <w:t xml:space="preserve">dotazu tazatele ostatně nevyplývá, jaké rozdělení </w:t>
      </w:r>
      <w:r w:rsidR="0082283A">
        <w:t>má na mysli a</w:t>
      </w:r>
      <w:r w:rsidRPr="00581803">
        <w:t xml:space="preserve"> co by bylo oním dělícím prvkem. </w:t>
      </w:r>
    </w:p>
    <w:p w14:paraId="6B764E22" w14:textId="605AB682" w:rsidR="000C6F00" w:rsidRPr="00581803" w:rsidRDefault="000C6F00" w:rsidP="00FC64AB">
      <w:pPr>
        <w:jc w:val="both"/>
      </w:pPr>
      <w:r w:rsidRPr="00581803">
        <w:t xml:space="preserve">Zadavatel každopádně tedy považuje rozdělení této zakázky za velmi problematické a z funkčního, provozního i ekonomického hlediska za vyloženě nevhodné. </w:t>
      </w:r>
    </w:p>
    <w:p w14:paraId="45078C90" w14:textId="77777777" w:rsidR="000C6F00" w:rsidRPr="00581803" w:rsidRDefault="000C6F00" w:rsidP="00FC64AB">
      <w:pPr>
        <w:jc w:val="both"/>
      </w:pPr>
    </w:p>
    <w:p w14:paraId="20695FFE" w14:textId="77777777" w:rsidR="007E6959" w:rsidRPr="00581803" w:rsidRDefault="000C6F00" w:rsidP="00FC64AB">
      <w:pPr>
        <w:jc w:val="both"/>
        <w:rPr>
          <w:b/>
          <w:bCs/>
        </w:rPr>
      </w:pPr>
      <w:r w:rsidRPr="00581803">
        <w:rPr>
          <w:b/>
          <w:bCs/>
        </w:rPr>
        <w:t xml:space="preserve">2. </w:t>
      </w:r>
    </w:p>
    <w:p w14:paraId="24E4A3C7" w14:textId="5AA8FFC7" w:rsidR="000C6F00" w:rsidRPr="00581803" w:rsidRDefault="000C6F00" w:rsidP="00FC64AB">
      <w:pPr>
        <w:jc w:val="both"/>
        <w:rPr>
          <w:b/>
          <w:bCs/>
        </w:rPr>
      </w:pPr>
      <w:r w:rsidRPr="00581803">
        <w:rPr>
          <w:b/>
          <w:bCs/>
          <w:lang w:val="en-US"/>
        </w:rPr>
        <w:t>[</w:t>
      </w:r>
      <w:proofErr w:type="spellStart"/>
      <w:r w:rsidRPr="00581803">
        <w:rPr>
          <w:b/>
          <w:bCs/>
          <w:lang w:val="en-US"/>
        </w:rPr>
        <w:t>Tazatel</w:t>
      </w:r>
      <w:proofErr w:type="spellEnd"/>
      <w:r w:rsidRPr="00581803">
        <w:rPr>
          <w:b/>
          <w:bCs/>
          <w:lang w:val="en-US"/>
        </w:rPr>
        <w:t xml:space="preserve"> </w:t>
      </w:r>
      <w:r w:rsidR="00061F97" w:rsidRPr="00581803">
        <w:rPr>
          <w:b/>
          <w:bCs/>
          <w:lang w:val="en-US"/>
        </w:rPr>
        <w:t xml:space="preserve">na </w:t>
      </w:r>
      <w:proofErr w:type="spellStart"/>
      <w:r w:rsidR="00061F97" w:rsidRPr="00581803">
        <w:rPr>
          <w:b/>
          <w:bCs/>
          <w:lang w:val="en-US"/>
        </w:rPr>
        <w:t>úvod</w:t>
      </w:r>
      <w:proofErr w:type="spellEnd"/>
      <w:r w:rsidR="00061F97" w:rsidRPr="00581803">
        <w:rPr>
          <w:b/>
          <w:bCs/>
          <w:lang w:val="en-US"/>
        </w:rPr>
        <w:t xml:space="preserve"> </w:t>
      </w:r>
      <w:proofErr w:type="spellStart"/>
      <w:r w:rsidRPr="00581803">
        <w:rPr>
          <w:b/>
          <w:bCs/>
          <w:lang w:val="en-US"/>
        </w:rPr>
        <w:t>rekapituluje</w:t>
      </w:r>
      <w:proofErr w:type="spellEnd"/>
      <w:r w:rsidRPr="00581803">
        <w:rPr>
          <w:b/>
          <w:bCs/>
          <w:lang w:val="en-US"/>
        </w:rPr>
        <w:t xml:space="preserve"> </w:t>
      </w:r>
      <w:proofErr w:type="spellStart"/>
      <w:r w:rsidRPr="00581803">
        <w:rPr>
          <w:b/>
          <w:bCs/>
          <w:lang w:val="en-US"/>
        </w:rPr>
        <w:t>zásadu</w:t>
      </w:r>
      <w:proofErr w:type="spellEnd"/>
      <w:r w:rsidRPr="00581803">
        <w:rPr>
          <w:b/>
          <w:bCs/>
          <w:lang w:val="en-US"/>
        </w:rPr>
        <w:t xml:space="preserve"> </w:t>
      </w:r>
      <w:proofErr w:type="spellStart"/>
      <w:r w:rsidRPr="00581803">
        <w:rPr>
          <w:b/>
          <w:bCs/>
          <w:lang w:val="en-US"/>
        </w:rPr>
        <w:t>zákazu</w:t>
      </w:r>
      <w:proofErr w:type="spellEnd"/>
      <w:r w:rsidRPr="00581803">
        <w:rPr>
          <w:b/>
          <w:bCs/>
          <w:lang w:val="en-US"/>
        </w:rPr>
        <w:t xml:space="preserve"> </w:t>
      </w:r>
      <w:proofErr w:type="spellStart"/>
      <w:r w:rsidRPr="00581803">
        <w:rPr>
          <w:b/>
          <w:bCs/>
          <w:lang w:val="en-US"/>
        </w:rPr>
        <w:t>diskriminace</w:t>
      </w:r>
      <w:proofErr w:type="spellEnd"/>
      <w:r w:rsidRPr="00581803">
        <w:rPr>
          <w:b/>
          <w:bCs/>
          <w:lang w:val="en-US"/>
        </w:rPr>
        <w:t xml:space="preserve"> a </w:t>
      </w:r>
      <w:proofErr w:type="spellStart"/>
      <w:r w:rsidRPr="00581803">
        <w:rPr>
          <w:b/>
          <w:bCs/>
          <w:lang w:val="en-US"/>
        </w:rPr>
        <w:t>rozsudek</w:t>
      </w:r>
      <w:proofErr w:type="spellEnd"/>
      <w:r w:rsidRPr="00581803">
        <w:rPr>
          <w:b/>
          <w:bCs/>
          <w:lang w:val="en-US"/>
        </w:rPr>
        <w:t xml:space="preserve"> NSS </w:t>
      </w:r>
      <w:proofErr w:type="spellStart"/>
      <w:r w:rsidRPr="00581803">
        <w:rPr>
          <w:b/>
          <w:bCs/>
          <w:lang w:val="en-US"/>
        </w:rPr>
        <w:t>hovořízcí</w:t>
      </w:r>
      <w:proofErr w:type="spellEnd"/>
      <w:r w:rsidRPr="00581803">
        <w:rPr>
          <w:b/>
          <w:bCs/>
          <w:lang w:val="en-US"/>
        </w:rPr>
        <w:t xml:space="preserve"> o </w:t>
      </w:r>
      <w:proofErr w:type="spellStart"/>
      <w:r w:rsidRPr="00581803">
        <w:rPr>
          <w:b/>
          <w:bCs/>
          <w:lang w:val="en-US"/>
        </w:rPr>
        <w:t>nutnosti</w:t>
      </w:r>
      <w:proofErr w:type="spellEnd"/>
      <w:r w:rsidRPr="00581803">
        <w:rPr>
          <w:b/>
          <w:bCs/>
          <w:lang w:val="en-US"/>
        </w:rPr>
        <w:t xml:space="preserve"> </w:t>
      </w:r>
      <w:proofErr w:type="spellStart"/>
      <w:r w:rsidRPr="00581803">
        <w:rPr>
          <w:b/>
          <w:bCs/>
          <w:lang w:val="en-US"/>
        </w:rPr>
        <w:t>objektivního</w:t>
      </w:r>
      <w:proofErr w:type="spellEnd"/>
      <w:r w:rsidRPr="00581803">
        <w:rPr>
          <w:b/>
          <w:bCs/>
          <w:lang w:val="en-US"/>
        </w:rPr>
        <w:t xml:space="preserve"> </w:t>
      </w:r>
      <w:proofErr w:type="spellStart"/>
      <w:r w:rsidRPr="00581803">
        <w:rPr>
          <w:b/>
          <w:bCs/>
          <w:lang w:val="en-US"/>
        </w:rPr>
        <w:t>doůvodnění</w:t>
      </w:r>
      <w:proofErr w:type="spellEnd"/>
      <w:r w:rsidRPr="00581803">
        <w:rPr>
          <w:b/>
          <w:bCs/>
          <w:lang w:val="en-US"/>
        </w:rPr>
        <w:t xml:space="preserve"> </w:t>
      </w:r>
      <w:proofErr w:type="spellStart"/>
      <w:r w:rsidRPr="00581803">
        <w:rPr>
          <w:b/>
          <w:bCs/>
          <w:lang w:val="en-US"/>
        </w:rPr>
        <w:t>limitujících</w:t>
      </w:r>
      <w:proofErr w:type="spellEnd"/>
      <w:r w:rsidRPr="00581803">
        <w:rPr>
          <w:b/>
          <w:bCs/>
          <w:lang w:val="en-US"/>
        </w:rPr>
        <w:t xml:space="preserve"> </w:t>
      </w:r>
      <w:proofErr w:type="spellStart"/>
      <w:r w:rsidRPr="00581803">
        <w:rPr>
          <w:b/>
          <w:bCs/>
          <w:lang w:val="en-US"/>
        </w:rPr>
        <w:t>požadavků</w:t>
      </w:r>
      <w:proofErr w:type="spellEnd"/>
      <w:r w:rsidRPr="00581803">
        <w:rPr>
          <w:b/>
          <w:bCs/>
          <w:lang w:val="en-US"/>
        </w:rPr>
        <w:t xml:space="preserve"> </w:t>
      </w:r>
      <w:proofErr w:type="spellStart"/>
      <w:r w:rsidRPr="00581803">
        <w:rPr>
          <w:b/>
          <w:bCs/>
          <w:lang w:val="en-US"/>
        </w:rPr>
        <w:t>zadavatele</w:t>
      </w:r>
      <w:proofErr w:type="spellEnd"/>
      <w:r w:rsidRPr="00581803">
        <w:rPr>
          <w:b/>
          <w:bCs/>
          <w:lang w:val="en-US"/>
        </w:rPr>
        <w:t>]</w:t>
      </w:r>
    </w:p>
    <w:p w14:paraId="6DC1E17A" w14:textId="77777777" w:rsidR="007E6959" w:rsidRPr="00581803" w:rsidRDefault="007E6959" w:rsidP="00FC64AB">
      <w:pPr>
        <w:jc w:val="both"/>
        <w:rPr>
          <w:b/>
          <w:bCs/>
        </w:rPr>
      </w:pPr>
    </w:p>
    <w:p w14:paraId="2830D9F8" w14:textId="7526D4E2" w:rsidR="007E6959" w:rsidRPr="00581803" w:rsidRDefault="000C6F00" w:rsidP="00FC64AB">
      <w:pPr>
        <w:jc w:val="both"/>
        <w:rPr>
          <w:b/>
          <w:bCs/>
        </w:rPr>
      </w:pPr>
      <w:proofErr w:type="gramStart"/>
      <w:r w:rsidRPr="00581803">
        <w:rPr>
          <w:b/>
          <w:bCs/>
        </w:rPr>
        <w:t>2a</w:t>
      </w:r>
      <w:proofErr w:type="gramEnd"/>
      <w:r w:rsidRPr="00581803">
        <w:rPr>
          <w:b/>
          <w:bCs/>
        </w:rPr>
        <w:t xml:space="preserve">.  </w:t>
      </w:r>
    </w:p>
    <w:p w14:paraId="3D456DA9" w14:textId="05945FEE" w:rsidR="000C6F00" w:rsidRPr="00581803" w:rsidRDefault="000C6F00" w:rsidP="00FC64AB">
      <w:pPr>
        <w:jc w:val="both"/>
        <w:rPr>
          <w:b/>
          <w:bCs/>
        </w:rPr>
      </w:pPr>
      <w:r w:rsidRPr="00581803">
        <w:rPr>
          <w:b/>
          <w:bCs/>
        </w:rPr>
        <w:t>Jaké rozměry lůžka jsou nepodkročitelné a z jakého důvodu a u jakých je připuštěna tolerance?</w:t>
      </w:r>
    </w:p>
    <w:p w14:paraId="653CD12B" w14:textId="77777777" w:rsidR="000C6F00" w:rsidRPr="00581803" w:rsidRDefault="000C6F00" w:rsidP="00FC64AB">
      <w:pPr>
        <w:jc w:val="both"/>
      </w:pPr>
    </w:p>
    <w:p w14:paraId="4CDC203A" w14:textId="53B8136D" w:rsidR="008349E8" w:rsidRPr="00581803" w:rsidRDefault="008349E8" w:rsidP="00FC64AB">
      <w:pPr>
        <w:jc w:val="both"/>
      </w:pPr>
      <w:r w:rsidRPr="00581803">
        <w:t xml:space="preserve">Požadované rozměry lůžek rozhodně nejsou samoúčelným a neodůvodněným omezením konkurence, </w:t>
      </w:r>
      <w:r w:rsidR="007E6959" w:rsidRPr="00581803">
        <w:t>ale vycházejí z provozních podmínek zadavatele, kdy zjednodušeně řečeno minimální rozměr je omezen velikostí ložné plochy matrace a vnější maximální rozměr pak z prostorových možností zadavatele.</w:t>
      </w:r>
    </w:p>
    <w:p w14:paraId="6E135A56" w14:textId="35D8D67B" w:rsidR="008349E8" w:rsidRPr="00581803" w:rsidRDefault="008349E8" w:rsidP="00FC64AB">
      <w:pPr>
        <w:jc w:val="both"/>
      </w:pPr>
      <w:r w:rsidRPr="00581803">
        <w:t xml:space="preserve">Odchylky v požadovaných parametrech jsou u požadovaných rozměrů lůžek plně dostačující. Zadavatel při určování rozměru lůžek vycházel z prostorového uspořádání místností, kde budou lůžka umístěna. Jedná se o zcela objektivní vyhodnocení situace a požadavků na splnění, neboť větší odchylka a větší rozměr lůžek by zabránily umístění dalších pomůcek potřebných k péči o uživatele. Požadovaný rozměr lůžek je nepřekročitelný hlavně u vnějších rozměrů, které nesmí přesáhnout šířku 106 cm (tolerance +- 2 cm) a kde </w:t>
      </w:r>
      <w:r w:rsidR="007E6959" w:rsidRPr="00581803">
        <w:t xml:space="preserve">zadavatel </w:t>
      </w:r>
      <w:r w:rsidRPr="00581803">
        <w:t xml:space="preserve">striktně vychází z možností ubytovacích místností. U 5 ks lůžek s požadovanou šířkou vnitřní ložné plochy 100 x 200 cm tento limitující požadavek na vnější rozměry zadavatel logicky nepožaduje. Zadavatel požaduje </w:t>
      </w:r>
      <w:r w:rsidRPr="00581803">
        <w:lastRenderedPageBreak/>
        <w:t>u vybraných lůžek širší ložnou plochu z důvodu nárůstu počtu obyvatel s výrazně většími tělesnými proporcemi.</w:t>
      </w:r>
    </w:p>
    <w:p w14:paraId="5480A7BE" w14:textId="77777777" w:rsidR="000C6F00" w:rsidRPr="00581803" w:rsidRDefault="000C6F00" w:rsidP="00FC64AB">
      <w:pPr>
        <w:jc w:val="both"/>
      </w:pPr>
    </w:p>
    <w:p w14:paraId="10F096E7" w14:textId="77777777" w:rsidR="00C019B5" w:rsidRDefault="00C019B5" w:rsidP="00FC64AB">
      <w:pPr>
        <w:jc w:val="both"/>
        <w:rPr>
          <w:b/>
          <w:bCs/>
        </w:rPr>
      </w:pPr>
    </w:p>
    <w:p w14:paraId="484E4565" w14:textId="64865826" w:rsidR="007E6959" w:rsidRPr="00581803" w:rsidRDefault="000C6F00" w:rsidP="00FC64AB">
      <w:pPr>
        <w:jc w:val="both"/>
        <w:rPr>
          <w:b/>
          <w:bCs/>
        </w:rPr>
      </w:pPr>
      <w:proofErr w:type="gramStart"/>
      <w:r w:rsidRPr="00581803">
        <w:rPr>
          <w:b/>
          <w:bCs/>
        </w:rPr>
        <w:t>2b</w:t>
      </w:r>
      <w:proofErr w:type="gramEnd"/>
      <w:r w:rsidRPr="00581803">
        <w:rPr>
          <w:b/>
          <w:bCs/>
        </w:rPr>
        <w:t>.</w:t>
      </w:r>
      <w:r w:rsidR="00061F97" w:rsidRPr="00581803">
        <w:rPr>
          <w:b/>
          <w:bCs/>
        </w:rPr>
        <w:t xml:space="preserve"> </w:t>
      </w:r>
    </w:p>
    <w:p w14:paraId="5D7856F9" w14:textId="41F3FD6E" w:rsidR="00061F97" w:rsidRPr="00581803" w:rsidRDefault="00061F97" w:rsidP="00FC64AB">
      <w:pPr>
        <w:jc w:val="both"/>
        <w:rPr>
          <w:b/>
          <w:bCs/>
        </w:rPr>
      </w:pPr>
      <w:r w:rsidRPr="00581803">
        <w:rPr>
          <w:b/>
          <w:bCs/>
        </w:rPr>
        <w:t>Je dodání bezdrátových ovladačů považováno skutečně za nutnou podmínku, nebo se jedná pouze o preferovanou variantu, nikoliv však variantu bezpodmínečně nutnou?</w:t>
      </w:r>
    </w:p>
    <w:p w14:paraId="1977E127" w14:textId="77777777" w:rsidR="00FC64AB" w:rsidRPr="00581803" w:rsidRDefault="00FC64AB" w:rsidP="00FC64AB">
      <w:pPr>
        <w:jc w:val="both"/>
      </w:pPr>
    </w:p>
    <w:p w14:paraId="75684A4D" w14:textId="33F0018A" w:rsidR="00FC64AB" w:rsidRPr="00581803" w:rsidRDefault="00FC64AB" w:rsidP="00FC64AB">
      <w:pPr>
        <w:jc w:val="both"/>
      </w:pPr>
      <w:r w:rsidRPr="00581803">
        <w:t xml:space="preserve">Jedná se o </w:t>
      </w:r>
      <w:proofErr w:type="spellStart"/>
      <w:r w:rsidRPr="00581803">
        <w:t>nepodkročitelný</w:t>
      </w:r>
      <w:proofErr w:type="spellEnd"/>
      <w:r w:rsidRPr="00581803">
        <w:t xml:space="preserve"> požadavek zadavatele, tedy o nutnou podmínku.</w:t>
      </w:r>
    </w:p>
    <w:p w14:paraId="3EFD652A" w14:textId="02F112BB" w:rsidR="007E6959" w:rsidRPr="00581803" w:rsidRDefault="007E6959" w:rsidP="00FC64AB">
      <w:pPr>
        <w:jc w:val="both"/>
      </w:pPr>
      <w:r w:rsidRPr="00581803">
        <w:t xml:space="preserve">Zadavatel je členem Asociace poskytovatelů sociálních služeb ČR a jako takový se účastní odborných konferencí a seminářů, jejich cílem je zkvalitnit, zmodernizovat a posunout péči o seniory s vyšší mírou podpory. Pomůcky, které zadavatel volí jsou zaměřeny na individualitu péče, podporu samostatnosti a komfort uživatelů s motorickými potížemi horních končetin. Specifikace bezdrátových ovladačů byla vytyčena s ohledem na možnost jednoduchého intuitivního úchopu, podporu jemné motoriky u </w:t>
      </w:r>
      <w:proofErr w:type="spellStart"/>
      <w:r w:rsidRPr="00581803">
        <w:t>polymorbidních</w:t>
      </w:r>
      <w:proofErr w:type="spellEnd"/>
      <w:r w:rsidRPr="00581803">
        <w:t xml:space="preserve"> uživatelů, možnost úchopu jednou rukou a v neposlední řadě také bezpečného používání oproti kabelovým připojením. Zadavatel požaduje bezdrátové ovladače z hlediska využití v zařízení, kdy prostorové podmínky neumožňují neustálé stěhování lůžek, a tudíž se přenos zařízení jeví jako nejpraktičtější řešení. Stav uživatelů zařízení se mění a s ním i míra intenzity péče, která je prioritou.</w:t>
      </w:r>
    </w:p>
    <w:p w14:paraId="5E45E235" w14:textId="3A03FA39" w:rsidR="00061F97" w:rsidRPr="00581803" w:rsidRDefault="00061F97" w:rsidP="00FC64AB">
      <w:pPr>
        <w:jc w:val="both"/>
      </w:pPr>
    </w:p>
    <w:p w14:paraId="00288005" w14:textId="7D523F8C" w:rsidR="007E6959" w:rsidRPr="00581803" w:rsidRDefault="007E6959" w:rsidP="00FC64AB">
      <w:pPr>
        <w:jc w:val="both"/>
      </w:pPr>
      <w:r w:rsidRPr="00581803">
        <w:t xml:space="preserve">Zadavatel by v obecnější rovině rád upozornil na to, že jakékoli nastavení minimálních technických parametrů ve své podstatě znamená zúžení okruhu potenciálních dodavatelů, neboť z principu je jasné, že na trhu jsou k dispozici zařízení různé technické úrovně, přičemž zadavatel, coby řádný hospodář, musí požadovanou technickou specifikací postihnout především svou reálnou potřebu tak, aby pořizované zařízení mělo dostatečnou technickou úroveň, tedy aby odpovídalo všem odborným a provozním požadavkům a podmínkám, a přitom bylo pořízeno hospodárně a v rámci řádné, co možná nejširší hospodářské soutěže. </w:t>
      </w:r>
    </w:p>
    <w:p w14:paraId="2CC3F8C3" w14:textId="77777777" w:rsidR="007E6959" w:rsidRPr="00581803" w:rsidRDefault="007E6959" w:rsidP="00FC64AB">
      <w:pPr>
        <w:contextualSpacing/>
        <w:jc w:val="both"/>
      </w:pPr>
      <w:r w:rsidRPr="00581803">
        <w:t xml:space="preserve"> To ostatně naprosto odpovídá rozhodovací praxi Úřadu, který např. v rozhodnutí č.j.  S720/2012/VZ-6764/2013/511/</w:t>
      </w:r>
      <w:proofErr w:type="spellStart"/>
      <w:r w:rsidRPr="00581803">
        <w:t>MKl</w:t>
      </w:r>
      <w:proofErr w:type="spellEnd"/>
      <w:r w:rsidRPr="00581803">
        <w:t xml:space="preserve"> doslova uvedl:</w:t>
      </w:r>
    </w:p>
    <w:p w14:paraId="752B2C7A" w14:textId="77777777" w:rsidR="007E6959" w:rsidRPr="00581803" w:rsidRDefault="007E6959" w:rsidP="00FC64AB">
      <w:pPr>
        <w:contextualSpacing/>
        <w:jc w:val="both"/>
      </w:pPr>
      <w:r w:rsidRPr="00581803">
        <w:t>„</w:t>
      </w:r>
      <w:r w:rsidRPr="00581803">
        <w:rPr>
          <w:i/>
        </w:rPr>
        <w:t xml:space="preserve">technické parametry </w:t>
      </w:r>
      <w:r w:rsidRPr="00581803">
        <w:rPr>
          <w:i/>
          <w:lang w:val="en-GB"/>
        </w:rPr>
        <w:t>[se]</w:t>
      </w:r>
      <w:r w:rsidRPr="00581803">
        <w:rPr>
          <w:i/>
        </w:rPr>
        <w:t xml:space="preserve"> nesmí stávat „rukojmím“ v rukou neúspěšných uchazečů o veřejné zakázky, kteří by hodnoty technických parametrů mohli kdykoliv napadnout pro jejich diskriminační </w:t>
      </w:r>
      <w:proofErr w:type="gramStart"/>
      <w:r w:rsidRPr="00581803">
        <w:rPr>
          <w:i/>
        </w:rPr>
        <w:t>povahu</w:t>
      </w:r>
      <w:proofErr w:type="gramEnd"/>
      <w:r w:rsidRPr="00581803">
        <w:rPr>
          <w:i/>
        </w:rPr>
        <w:t xml:space="preserve"> a to jenom proto, že některé z těchto technických parametrů nejsou schopni splnit. </w:t>
      </w:r>
      <w:r w:rsidRPr="00581803">
        <w:rPr>
          <w:bCs/>
          <w:i/>
          <w:u w:val="single"/>
        </w:rPr>
        <w:t>Ze samotné podstaty hospodářské soutěže založené na konkurenci mezi jednotlivými dodavateli vyplývá právo zadavatele stanovit si podmínky předmětu plnění podle svých objektivních potřeb, přičemž není ani v možnostech zadavatelů veřejných zakázek stanovit takové zadávací podmínky, kterým by bez jakéhokoliv omezení vyhovovali všichni potenciální dodavatelé poptávaného předmětu plnění.“</w:t>
      </w:r>
    </w:p>
    <w:p w14:paraId="46492BF7" w14:textId="77777777" w:rsidR="007E6959" w:rsidRPr="00581803" w:rsidRDefault="007E6959" w:rsidP="00FC64AB">
      <w:pPr>
        <w:jc w:val="both"/>
      </w:pPr>
    </w:p>
    <w:p w14:paraId="64858F39" w14:textId="73A77965" w:rsidR="0081318C" w:rsidRPr="00581803" w:rsidRDefault="0081318C" w:rsidP="00FC64AB">
      <w:pPr>
        <w:contextualSpacing/>
        <w:jc w:val="both"/>
      </w:pPr>
      <w:r w:rsidRPr="00581803">
        <w:t>Zadavatel konečně musí zdůraznit, že si je vědom své povinnosti stanovit technické parametry v souladu se zákonem a je přesvědčen, že tak i učinil. To, že takto nastavené technické požadavky by v konkrétním případě zabránily nějakému dodavateli v účasti je následek, který s sebou v obecné rovině vždy inherentně ponese jakékoli nastavení minimálních kvalitativních parametrů.</w:t>
      </w:r>
    </w:p>
    <w:p w14:paraId="72D47D3B" w14:textId="7AE91139" w:rsidR="0081318C" w:rsidRPr="00581803" w:rsidRDefault="0081318C" w:rsidP="00FC64AB">
      <w:pPr>
        <w:contextualSpacing/>
        <w:jc w:val="both"/>
      </w:pPr>
      <w:r w:rsidRPr="00581803">
        <w:t>Zadavatel v této souvislosti doporučuje pozornosti rozhodnutí Úřadu č.j. ÚOHS-S326/2011/VZ- 2436/2012/550/</w:t>
      </w:r>
      <w:proofErr w:type="spellStart"/>
      <w:r w:rsidRPr="00581803">
        <w:t>SWa</w:t>
      </w:r>
      <w:proofErr w:type="spellEnd"/>
      <w:r w:rsidRPr="00581803">
        <w:t>, kde Úřad konstatuje, že:</w:t>
      </w:r>
    </w:p>
    <w:p w14:paraId="5CD5467B" w14:textId="77777777" w:rsidR="0081318C" w:rsidRPr="00581803" w:rsidRDefault="0081318C" w:rsidP="00FC64AB">
      <w:pPr>
        <w:contextualSpacing/>
        <w:jc w:val="both"/>
      </w:pPr>
      <w:r w:rsidRPr="00581803">
        <w:t>„</w:t>
      </w:r>
      <w:r w:rsidRPr="00581803">
        <w:rPr>
          <w:bCs/>
          <w:i/>
          <w:u w:val="single"/>
        </w:rPr>
        <w:t>Zadavatel není povinen a ze zákona také nevyplývá, že by měl stanovovat, resp. přizpůsobovat, předmět veřejné zakázky nikoliv svým potřebám, ale nárokům nebo možnostem jednotlivých dodavatelů</w:t>
      </w:r>
      <w:r w:rsidRPr="00581803">
        <w:rPr>
          <w:i/>
        </w:rPr>
        <w:t xml:space="preserve"> (navrhovatele),“, </w:t>
      </w:r>
      <w:r w:rsidRPr="00581803">
        <w:t>přičemž dále Úřad v tomto svém rozhodnutí konstatoval, že:</w:t>
      </w:r>
    </w:p>
    <w:p w14:paraId="7CFDB4DF" w14:textId="77777777" w:rsidR="0081318C" w:rsidRPr="00581803" w:rsidRDefault="0081318C" w:rsidP="00FC64AB">
      <w:pPr>
        <w:contextualSpacing/>
        <w:jc w:val="both"/>
        <w:rPr>
          <w:i/>
        </w:rPr>
      </w:pPr>
      <w:r w:rsidRPr="00581803">
        <w:rPr>
          <w:i/>
        </w:rPr>
        <w:lastRenderedPageBreak/>
        <w:t xml:space="preserve"> „</w:t>
      </w:r>
      <w:r w:rsidRPr="00581803">
        <w:rPr>
          <w:bCs/>
          <w:i/>
          <w:u w:val="single"/>
        </w:rPr>
        <w:t>je zřejmé, že pro různé dodavatele by byly nediskriminační různé technické požadavky zadavatele, a to odvisle od typu dodávaných přístrojů. Obecně by tak každý dodavatel mohl považovat za diskriminační takové technické podmínky, které by neodpovídaly jeho portfoliu výrobků</w:t>
      </w:r>
      <w:r w:rsidRPr="00581803">
        <w:rPr>
          <w:b/>
          <w:i/>
        </w:rPr>
        <w:t>.</w:t>
      </w:r>
      <w:r w:rsidRPr="00581803">
        <w:rPr>
          <w:i/>
        </w:rPr>
        <w:t xml:space="preserve">“      </w:t>
      </w:r>
    </w:p>
    <w:p w14:paraId="6D1DEED0" w14:textId="575CD25F" w:rsidR="007E6959" w:rsidRPr="00581803" w:rsidRDefault="007E6959" w:rsidP="00FC64AB">
      <w:pPr>
        <w:jc w:val="both"/>
      </w:pPr>
    </w:p>
    <w:p w14:paraId="1EFF71BD" w14:textId="4B24BE5D" w:rsidR="007E6959" w:rsidRPr="00581803" w:rsidRDefault="0081318C" w:rsidP="00FC64AB">
      <w:pPr>
        <w:jc w:val="both"/>
      </w:pPr>
      <w:r w:rsidRPr="00581803">
        <w:t>Často skloňovaný požadavek na co nejširší hospodářskou soutěž je třeba (ostatně i v souladu s důvodovou zprávou k zákonu), chápat pouze jako prostředek k dosažení účelu hospodárnosti, nikoli jako jakýsi samospasný maxim veřejných zakázek. Ostatně kdyby zadavatel v oblasti poskytování zdravotní péče, za účelem maximálního „otevření soutěže“, rozvolnil požadované parametry plnění tak, že by tyto zpochybňovaly samotnou vhodnost či využitelnost potenciálně nabízeného plnění, pak by se jednalo o jednání mimo péči řádného hospodáře, v oblasti sociální či zdravotní péče pak navíc za hranicí dobrých mravů a takové jednání by bylo zcela zjevně nežádoucí.</w:t>
      </w:r>
    </w:p>
    <w:p w14:paraId="5AFC8581" w14:textId="249A906A" w:rsidR="007E6959" w:rsidRPr="00581803" w:rsidRDefault="007E6959" w:rsidP="00FC64AB">
      <w:pPr>
        <w:jc w:val="both"/>
      </w:pPr>
    </w:p>
    <w:p w14:paraId="58A2F139" w14:textId="77777777" w:rsidR="007E6959" w:rsidRPr="00581803" w:rsidRDefault="007E6959" w:rsidP="00FC64AB">
      <w:pPr>
        <w:jc w:val="both"/>
      </w:pPr>
    </w:p>
    <w:p w14:paraId="1C3E3542" w14:textId="77777777" w:rsidR="00FC64AB" w:rsidRPr="00581803" w:rsidRDefault="00061F97" w:rsidP="00FC64AB">
      <w:pPr>
        <w:jc w:val="both"/>
        <w:rPr>
          <w:b/>
          <w:bCs/>
        </w:rPr>
      </w:pPr>
      <w:r w:rsidRPr="00581803">
        <w:rPr>
          <w:b/>
          <w:bCs/>
        </w:rPr>
        <w:t xml:space="preserve"> 3. </w:t>
      </w:r>
    </w:p>
    <w:p w14:paraId="0C2772D6" w14:textId="2F70FA47" w:rsidR="000C6F00" w:rsidRPr="00581803" w:rsidRDefault="00061F97" w:rsidP="00FC64AB">
      <w:pPr>
        <w:jc w:val="both"/>
        <w:rPr>
          <w:b/>
          <w:bCs/>
        </w:rPr>
      </w:pPr>
      <w:r w:rsidRPr="00581803">
        <w:rPr>
          <w:b/>
          <w:bCs/>
        </w:rPr>
        <w:t xml:space="preserve">V souvislosti s rozměry obsaženými v technické specifikaci bychom se rádi dotázali, zda rozměr střední automatická výška není chybně definovaný, když je zde uveden parametr </w:t>
      </w:r>
      <w:proofErr w:type="gramStart"/>
      <w:r w:rsidRPr="00581803">
        <w:rPr>
          <w:b/>
          <w:bCs/>
        </w:rPr>
        <w:t>80cm</w:t>
      </w:r>
      <w:proofErr w:type="gramEnd"/>
      <w:r w:rsidRPr="00581803">
        <w:rPr>
          <w:b/>
          <w:bCs/>
        </w:rPr>
        <w:t>, jedná se ale vždy o hodnotu 40cm, neboť rozmezí zdvihu je 25-80cm a lůžko se automaticky zastaví právě ve 40cm jako v poloze, která je nejefektivnější při péči o klienta?</w:t>
      </w:r>
    </w:p>
    <w:p w14:paraId="11671DB8" w14:textId="5BA7C429" w:rsidR="00061F97" w:rsidRPr="00581803" w:rsidRDefault="00061F97" w:rsidP="00FC64AB">
      <w:pPr>
        <w:jc w:val="both"/>
      </w:pPr>
    </w:p>
    <w:p w14:paraId="0D556777" w14:textId="26F793E2" w:rsidR="00FC64AB" w:rsidRPr="00581803" w:rsidRDefault="00FC64AB" w:rsidP="00FC64AB">
      <w:pPr>
        <w:jc w:val="both"/>
      </w:pPr>
      <w:r w:rsidRPr="00581803">
        <w:t xml:space="preserve">Střední automatická výška 80 cm je chyba textu, </w:t>
      </w:r>
      <w:proofErr w:type="gramStart"/>
      <w:r w:rsidRPr="00581803">
        <w:t>oprava - jedná</w:t>
      </w:r>
      <w:proofErr w:type="gramEnd"/>
      <w:r w:rsidRPr="00581803">
        <w:t xml:space="preserve"> se o nejvyšší výškovou polohu. Střední výška 40 cm se vyžaduje jako střední poloha automatická, kdy se lůžko v této poloze musí samo zastavit. Nejnižší poloha lůžka platí pro požadovaných 25 cm.</w:t>
      </w:r>
    </w:p>
    <w:p w14:paraId="4E1D3295" w14:textId="77777777" w:rsidR="0081318C" w:rsidRPr="00581803" w:rsidRDefault="0081318C" w:rsidP="00FC64AB">
      <w:pPr>
        <w:jc w:val="both"/>
      </w:pPr>
    </w:p>
    <w:p w14:paraId="5F9478EF" w14:textId="77777777" w:rsidR="00061F97" w:rsidRPr="00581803" w:rsidRDefault="00061F97" w:rsidP="00FC64AB">
      <w:pPr>
        <w:jc w:val="both"/>
      </w:pPr>
    </w:p>
    <w:p w14:paraId="1A196F85" w14:textId="31119FAD" w:rsidR="00995F5E" w:rsidRPr="00581803" w:rsidRDefault="000C6F00" w:rsidP="00FC64AB">
      <w:pPr>
        <w:jc w:val="both"/>
      </w:pPr>
      <w:r w:rsidRPr="00581803">
        <w:t xml:space="preserve"> </w:t>
      </w:r>
      <w:r w:rsidR="00014B86" w:rsidRPr="00581803">
        <w:t xml:space="preserve">   </w:t>
      </w:r>
      <w:r w:rsidR="00995F5E" w:rsidRPr="00581803">
        <w:t xml:space="preserve"> </w:t>
      </w:r>
    </w:p>
    <w:p w14:paraId="5840C033" w14:textId="6E85BB22" w:rsidR="00642D44" w:rsidRPr="00581803" w:rsidRDefault="00642D44" w:rsidP="00FC64AB">
      <w:pPr>
        <w:jc w:val="both"/>
      </w:pPr>
      <w:r w:rsidRPr="00581803">
        <w:t xml:space="preserve">Zadavatel </w:t>
      </w:r>
      <w:r w:rsidR="00FC64AB" w:rsidRPr="00581803">
        <w:t xml:space="preserve">v návaznosti na vysvětlení zadávací dokumentace </w:t>
      </w:r>
      <w:r w:rsidR="00CE6528" w:rsidRPr="00581803">
        <w:t xml:space="preserve">prodlužuje termín pro podávání nabídek do </w:t>
      </w:r>
      <w:r w:rsidR="000211DA">
        <w:rPr>
          <w:b/>
          <w:bCs/>
        </w:rPr>
        <w:t>30</w:t>
      </w:r>
      <w:r w:rsidR="000211DA" w:rsidRPr="000211DA">
        <w:rPr>
          <w:b/>
          <w:bCs/>
        </w:rPr>
        <w:t>. 0</w:t>
      </w:r>
      <w:r w:rsidR="000211DA">
        <w:rPr>
          <w:b/>
          <w:bCs/>
        </w:rPr>
        <w:t>4</w:t>
      </w:r>
      <w:bookmarkStart w:id="4" w:name="_GoBack"/>
      <w:bookmarkEnd w:id="4"/>
      <w:r w:rsidR="00CE6528" w:rsidRPr="000211DA">
        <w:rPr>
          <w:b/>
          <w:bCs/>
        </w:rPr>
        <w:t>. 2020</w:t>
      </w:r>
      <w:r w:rsidR="00CE6528" w:rsidRPr="00581803">
        <w:t xml:space="preserve"> do 1</w:t>
      </w:r>
      <w:r w:rsidR="0056132F" w:rsidRPr="00581803">
        <w:t>0</w:t>
      </w:r>
      <w:r w:rsidR="00CE6528" w:rsidRPr="00581803">
        <w:t xml:space="preserve">:00hod. </w:t>
      </w:r>
    </w:p>
    <w:p w14:paraId="471A494E" w14:textId="77777777" w:rsidR="00642D44" w:rsidRPr="00581803" w:rsidRDefault="00642D44" w:rsidP="00FC64AB">
      <w:pPr>
        <w:jc w:val="both"/>
      </w:pPr>
    </w:p>
    <w:p w14:paraId="6B69A10A" w14:textId="77777777" w:rsidR="00642D44" w:rsidRPr="00581803" w:rsidRDefault="00642D44" w:rsidP="00FC64AB">
      <w:pPr>
        <w:jc w:val="both"/>
      </w:pPr>
    </w:p>
    <w:p w14:paraId="4E53DF50" w14:textId="342907C4" w:rsidR="00642D44" w:rsidRPr="00581803" w:rsidRDefault="00642D44" w:rsidP="00FC64AB">
      <w:pPr>
        <w:jc w:val="both"/>
      </w:pPr>
      <w:r w:rsidRPr="00581803">
        <w:t xml:space="preserve">Ve Znojmě dne </w:t>
      </w:r>
      <w:r w:rsidR="00FC64AB" w:rsidRPr="00581803">
        <w:t>8</w:t>
      </w:r>
      <w:r w:rsidR="00CE6528" w:rsidRPr="00581803">
        <w:t>. 0</w:t>
      </w:r>
      <w:r w:rsidR="00FC64AB" w:rsidRPr="00581803">
        <w:t>4</w:t>
      </w:r>
      <w:r w:rsidR="00CE6528" w:rsidRPr="00581803">
        <w:t>. 2020</w:t>
      </w:r>
    </w:p>
    <w:p w14:paraId="02AAE273" w14:textId="77777777" w:rsidR="00642D44" w:rsidRPr="00581803" w:rsidRDefault="00642D44" w:rsidP="00FC64AB">
      <w:pPr>
        <w:jc w:val="both"/>
      </w:pPr>
    </w:p>
    <w:p w14:paraId="70BDF5D8" w14:textId="77777777" w:rsidR="00642D44" w:rsidRPr="00581803" w:rsidRDefault="00642D44" w:rsidP="00FC64AB">
      <w:pPr>
        <w:jc w:val="both"/>
      </w:pPr>
    </w:p>
    <w:p w14:paraId="152E640B" w14:textId="77777777" w:rsidR="0056132F" w:rsidRPr="00581803" w:rsidRDefault="0056132F" w:rsidP="00FC64AB">
      <w:pPr>
        <w:jc w:val="both"/>
      </w:pPr>
    </w:p>
    <w:p w14:paraId="0F80B8FA" w14:textId="77777777" w:rsidR="0056132F" w:rsidRPr="00581803" w:rsidRDefault="0056132F" w:rsidP="00FC64AB">
      <w:pPr>
        <w:jc w:val="both"/>
      </w:pPr>
    </w:p>
    <w:p w14:paraId="428D55C8" w14:textId="2FC0B8DD" w:rsidR="00642D44" w:rsidRPr="00581803" w:rsidRDefault="00CE6528" w:rsidP="00FC64AB">
      <w:pPr>
        <w:jc w:val="both"/>
      </w:pPr>
      <w:r w:rsidRPr="00581803">
        <w:t>Ing. Tomáš Šturala</w:t>
      </w:r>
    </w:p>
    <w:p w14:paraId="7D7F928A" w14:textId="0D1B71D5" w:rsidR="00CE6528" w:rsidRPr="00581803" w:rsidRDefault="00CE6528" w:rsidP="00FC64AB">
      <w:pPr>
        <w:jc w:val="both"/>
      </w:pPr>
      <w:r w:rsidRPr="00581803">
        <w:t>Zástupce zadavatele</w:t>
      </w:r>
    </w:p>
    <w:p w14:paraId="4320C33B" w14:textId="70EABEF5" w:rsidR="00642D44" w:rsidRPr="00581803" w:rsidRDefault="00642D44" w:rsidP="00FC64AB">
      <w:pPr>
        <w:jc w:val="both"/>
      </w:pPr>
    </w:p>
    <w:sectPr w:rsidR="00642D44" w:rsidRPr="00581803" w:rsidSect="00FD04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B7754" w14:textId="77777777" w:rsidR="000E356C" w:rsidRDefault="000E356C" w:rsidP="00C7767D">
      <w:r>
        <w:separator/>
      </w:r>
    </w:p>
  </w:endnote>
  <w:endnote w:type="continuationSeparator" w:id="0">
    <w:p w14:paraId="031972D5" w14:textId="77777777" w:rsidR="000E356C" w:rsidRDefault="000E356C" w:rsidP="00C7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234021"/>
      <w:docPartObj>
        <w:docPartGallery w:val="Page Numbers (Bottom of Page)"/>
        <w:docPartUnique/>
      </w:docPartObj>
    </w:sdtPr>
    <w:sdtEndPr/>
    <w:sdtContent>
      <w:sdt>
        <w:sdtPr>
          <w:id w:val="860082579"/>
          <w:docPartObj>
            <w:docPartGallery w:val="Page Numbers (Top of Page)"/>
            <w:docPartUnique/>
          </w:docPartObj>
        </w:sdtPr>
        <w:sdtEndPr/>
        <w:sdtContent>
          <w:p w14:paraId="66AC1D86" w14:textId="77777777" w:rsidR="00EE6ECE" w:rsidRDefault="00EE6ECE">
            <w:pPr>
              <w:pStyle w:val="Zpat"/>
              <w:jc w:val="right"/>
            </w:pPr>
            <w:r>
              <w:t xml:space="preserve">Stránka </w:t>
            </w:r>
            <w:r>
              <w:rPr>
                <w:b/>
                <w:bCs/>
              </w:rPr>
              <w:fldChar w:fldCharType="begin"/>
            </w:r>
            <w:r>
              <w:rPr>
                <w:b/>
                <w:bCs/>
              </w:rPr>
              <w:instrText>PAGE</w:instrText>
            </w:r>
            <w:r>
              <w:rPr>
                <w:b/>
                <w:bCs/>
              </w:rPr>
              <w:fldChar w:fldCharType="separate"/>
            </w:r>
            <w:r w:rsidR="00642D44">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42D44">
              <w:rPr>
                <w:b/>
                <w:bCs/>
                <w:noProof/>
              </w:rPr>
              <w:t>2</w:t>
            </w:r>
            <w:r>
              <w:rPr>
                <w:b/>
                <w:bCs/>
              </w:rPr>
              <w:fldChar w:fldCharType="end"/>
            </w:r>
          </w:p>
        </w:sdtContent>
      </w:sdt>
    </w:sdtContent>
  </w:sdt>
  <w:p w14:paraId="73F57A37" w14:textId="77777777" w:rsidR="00EE6ECE" w:rsidRDefault="00EE6E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92CEB" w14:textId="77777777" w:rsidR="000E356C" w:rsidRDefault="000E356C" w:rsidP="00C7767D">
      <w:r>
        <w:separator/>
      </w:r>
    </w:p>
  </w:footnote>
  <w:footnote w:type="continuationSeparator" w:id="0">
    <w:p w14:paraId="58615ABB" w14:textId="77777777" w:rsidR="000E356C" w:rsidRDefault="000E356C" w:rsidP="00C7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49E4"/>
    <w:multiLevelType w:val="hybridMultilevel"/>
    <w:tmpl w:val="9D568C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D352995"/>
    <w:multiLevelType w:val="multilevel"/>
    <w:tmpl w:val="542A4432"/>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1003"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E9"/>
    <w:rsid w:val="0000173C"/>
    <w:rsid w:val="000045D4"/>
    <w:rsid w:val="00014B86"/>
    <w:rsid w:val="000211DA"/>
    <w:rsid w:val="00043747"/>
    <w:rsid w:val="000509B8"/>
    <w:rsid w:val="000522E9"/>
    <w:rsid w:val="00054CAF"/>
    <w:rsid w:val="00061F97"/>
    <w:rsid w:val="0006706E"/>
    <w:rsid w:val="000A7337"/>
    <w:rsid w:val="000C23F6"/>
    <w:rsid w:val="000C6F00"/>
    <w:rsid w:val="000E356C"/>
    <w:rsid w:val="000E5D75"/>
    <w:rsid w:val="001028C3"/>
    <w:rsid w:val="001065E8"/>
    <w:rsid w:val="00106961"/>
    <w:rsid w:val="00116068"/>
    <w:rsid w:val="00165C7B"/>
    <w:rsid w:val="001728B6"/>
    <w:rsid w:val="00184C94"/>
    <w:rsid w:val="001E6260"/>
    <w:rsid w:val="002015DD"/>
    <w:rsid w:val="00222308"/>
    <w:rsid w:val="00270B7E"/>
    <w:rsid w:val="002814C3"/>
    <w:rsid w:val="0029271D"/>
    <w:rsid w:val="0029799D"/>
    <w:rsid w:val="002B7324"/>
    <w:rsid w:val="002B78D5"/>
    <w:rsid w:val="002C1F41"/>
    <w:rsid w:val="002D3736"/>
    <w:rsid w:val="002D42C8"/>
    <w:rsid w:val="002D4B55"/>
    <w:rsid w:val="00310E07"/>
    <w:rsid w:val="00323898"/>
    <w:rsid w:val="0033505C"/>
    <w:rsid w:val="00384C16"/>
    <w:rsid w:val="003B262E"/>
    <w:rsid w:val="003B4FCE"/>
    <w:rsid w:val="003D5A8A"/>
    <w:rsid w:val="003F29ED"/>
    <w:rsid w:val="004372CE"/>
    <w:rsid w:val="0045175B"/>
    <w:rsid w:val="00456006"/>
    <w:rsid w:val="00470FAF"/>
    <w:rsid w:val="004823EE"/>
    <w:rsid w:val="004B06D9"/>
    <w:rsid w:val="004D4B51"/>
    <w:rsid w:val="004E6C14"/>
    <w:rsid w:val="00547DD6"/>
    <w:rsid w:val="00550903"/>
    <w:rsid w:val="00552513"/>
    <w:rsid w:val="0055478D"/>
    <w:rsid w:val="0056132F"/>
    <w:rsid w:val="00581803"/>
    <w:rsid w:val="00620DC9"/>
    <w:rsid w:val="0063697F"/>
    <w:rsid w:val="00642D44"/>
    <w:rsid w:val="006724F8"/>
    <w:rsid w:val="006F361A"/>
    <w:rsid w:val="00711A42"/>
    <w:rsid w:val="00716DE9"/>
    <w:rsid w:val="00733D21"/>
    <w:rsid w:val="007E2F2D"/>
    <w:rsid w:val="007E6959"/>
    <w:rsid w:val="0081318C"/>
    <w:rsid w:val="008179E0"/>
    <w:rsid w:val="0082283A"/>
    <w:rsid w:val="008349E8"/>
    <w:rsid w:val="00886F1C"/>
    <w:rsid w:val="0089357E"/>
    <w:rsid w:val="008A2AF8"/>
    <w:rsid w:val="008A762E"/>
    <w:rsid w:val="00916A9A"/>
    <w:rsid w:val="0092188B"/>
    <w:rsid w:val="00922770"/>
    <w:rsid w:val="009333C1"/>
    <w:rsid w:val="00945B9F"/>
    <w:rsid w:val="009472EF"/>
    <w:rsid w:val="00983365"/>
    <w:rsid w:val="00995F5E"/>
    <w:rsid w:val="009E2656"/>
    <w:rsid w:val="009F3FAA"/>
    <w:rsid w:val="00A12C7B"/>
    <w:rsid w:val="00A41A0D"/>
    <w:rsid w:val="00AA2CBF"/>
    <w:rsid w:val="00B2639E"/>
    <w:rsid w:val="00B60E83"/>
    <w:rsid w:val="00B941FF"/>
    <w:rsid w:val="00BB07BE"/>
    <w:rsid w:val="00BF2669"/>
    <w:rsid w:val="00BF69CE"/>
    <w:rsid w:val="00C019B5"/>
    <w:rsid w:val="00C03EE6"/>
    <w:rsid w:val="00C5088D"/>
    <w:rsid w:val="00C56D36"/>
    <w:rsid w:val="00C57C1F"/>
    <w:rsid w:val="00C7767D"/>
    <w:rsid w:val="00CB1037"/>
    <w:rsid w:val="00CC2149"/>
    <w:rsid w:val="00CD3007"/>
    <w:rsid w:val="00CE26C5"/>
    <w:rsid w:val="00CE6528"/>
    <w:rsid w:val="00D03041"/>
    <w:rsid w:val="00D143D3"/>
    <w:rsid w:val="00D42F52"/>
    <w:rsid w:val="00D633C3"/>
    <w:rsid w:val="00DA6227"/>
    <w:rsid w:val="00DB23C9"/>
    <w:rsid w:val="00DC49FF"/>
    <w:rsid w:val="00DE5013"/>
    <w:rsid w:val="00E12F83"/>
    <w:rsid w:val="00E56FEF"/>
    <w:rsid w:val="00E84B0D"/>
    <w:rsid w:val="00E94647"/>
    <w:rsid w:val="00E9668D"/>
    <w:rsid w:val="00ED7D70"/>
    <w:rsid w:val="00EE63CC"/>
    <w:rsid w:val="00EE683A"/>
    <w:rsid w:val="00EE6ECE"/>
    <w:rsid w:val="00F20682"/>
    <w:rsid w:val="00F73248"/>
    <w:rsid w:val="00FC64AB"/>
    <w:rsid w:val="00FD049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077B"/>
  <w15:docId w15:val="{E3C8B883-E133-4510-830A-DD596260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DE9"/>
    <w:rPr>
      <w:rFonts w:ascii="Times New Roman" w:eastAsia="Times New Roman" w:hAnsi="Times New Roman"/>
      <w:sz w:val="24"/>
      <w:szCs w:val="24"/>
    </w:rPr>
  </w:style>
  <w:style w:type="paragraph" w:styleId="Nadpis1">
    <w:name w:val="heading 1"/>
    <w:aliases w:val="H1"/>
    <w:basedOn w:val="Normln"/>
    <w:next w:val="Normln"/>
    <w:link w:val="Nadpis1Char"/>
    <w:uiPriority w:val="9"/>
    <w:qFormat/>
    <w:rsid w:val="00DB23C9"/>
    <w:pPr>
      <w:keepNext/>
      <w:numPr>
        <w:numId w:val="1"/>
      </w:numPr>
      <w:pBdr>
        <w:bottom w:val="single" w:sz="12" w:space="1" w:color="FF0000"/>
      </w:pBdr>
      <w:spacing w:before="480" w:after="60" w:line="276" w:lineRule="auto"/>
      <w:ind w:left="432"/>
      <w:jc w:val="both"/>
      <w:outlineLvl w:val="0"/>
    </w:pPr>
    <w:rPr>
      <w:rFonts w:ascii="Cambria" w:hAnsi="Cambria"/>
      <w:b/>
      <w:bCs/>
      <w:kern w:val="32"/>
      <w:sz w:val="32"/>
      <w:szCs w:val="32"/>
      <w:lang w:val="sk-SK" w:eastAsia="en-US"/>
    </w:rPr>
  </w:style>
  <w:style w:type="paragraph" w:styleId="Nadpis2">
    <w:name w:val="heading 2"/>
    <w:basedOn w:val="Normln"/>
    <w:next w:val="Normln"/>
    <w:link w:val="Nadpis2Char"/>
    <w:uiPriority w:val="9"/>
    <w:qFormat/>
    <w:rsid w:val="00DB23C9"/>
    <w:pPr>
      <w:keepNext/>
      <w:numPr>
        <w:ilvl w:val="1"/>
        <w:numId w:val="1"/>
      </w:numPr>
      <w:spacing w:before="480" w:after="60" w:line="276" w:lineRule="auto"/>
      <w:ind w:left="576"/>
      <w:jc w:val="both"/>
      <w:outlineLvl w:val="1"/>
    </w:pPr>
    <w:rPr>
      <w:rFonts w:ascii="Cambria" w:hAnsi="Cambria"/>
      <w:b/>
      <w:bCs/>
      <w:iCs/>
      <w:sz w:val="28"/>
      <w:szCs w:val="28"/>
      <w:lang w:eastAsia="en-US"/>
    </w:rPr>
  </w:style>
  <w:style w:type="paragraph" w:styleId="Nadpis3">
    <w:name w:val="heading 3"/>
    <w:aliases w:val="H3"/>
    <w:basedOn w:val="Normln"/>
    <w:next w:val="Normln"/>
    <w:link w:val="Nadpis3Char"/>
    <w:uiPriority w:val="9"/>
    <w:qFormat/>
    <w:rsid w:val="00DB23C9"/>
    <w:pPr>
      <w:numPr>
        <w:ilvl w:val="2"/>
        <w:numId w:val="1"/>
      </w:numPr>
      <w:spacing w:before="240" w:after="60" w:line="276" w:lineRule="auto"/>
      <w:jc w:val="both"/>
      <w:outlineLvl w:val="2"/>
    </w:pPr>
    <w:rPr>
      <w:rFonts w:ascii="Cambria" w:eastAsia="Calibri" w:hAnsi="Cambria"/>
      <w:bCs/>
      <w:lang w:eastAsia="en-US"/>
    </w:rPr>
  </w:style>
  <w:style w:type="paragraph" w:styleId="Nadpis4">
    <w:name w:val="heading 4"/>
    <w:aliases w:val="H4"/>
    <w:basedOn w:val="Normln"/>
    <w:next w:val="Normln"/>
    <w:link w:val="Nadpis4Char"/>
    <w:uiPriority w:val="9"/>
    <w:qFormat/>
    <w:rsid w:val="00DB23C9"/>
    <w:pPr>
      <w:numPr>
        <w:ilvl w:val="3"/>
        <w:numId w:val="1"/>
      </w:numPr>
      <w:spacing w:before="240" w:after="60" w:line="276" w:lineRule="auto"/>
      <w:jc w:val="both"/>
      <w:outlineLvl w:val="3"/>
    </w:pPr>
    <w:rPr>
      <w:rFonts w:ascii="Cambria" w:hAnsi="Cambria"/>
      <w:bCs/>
      <w:szCs w:val="28"/>
      <w:lang w:eastAsia="en-US"/>
    </w:rPr>
  </w:style>
  <w:style w:type="paragraph" w:styleId="Nadpis5">
    <w:name w:val="heading 5"/>
    <w:aliases w:val="H5"/>
    <w:basedOn w:val="Nadpis4"/>
    <w:next w:val="Normln"/>
    <w:link w:val="Nadpis5Char"/>
    <w:uiPriority w:val="9"/>
    <w:qFormat/>
    <w:rsid w:val="00DB23C9"/>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DB23C9"/>
    <w:pPr>
      <w:numPr>
        <w:ilvl w:val="5"/>
        <w:numId w:val="1"/>
      </w:numPr>
      <w:spacing w:before="240" w:after="60" w:line="276" w:lineRule="auto"/>
      <w:jc w:val="both"/>
      <w:outlineLvl w:val="5"/>
    </w:pPr>
    <w:rPr>
      <w:rFonts w:ascii="Calibri" w:hAnsi="Calibri"/>
      <w:b/>
      <w:bCs/>
      <w:sz w:val="22"/>
      <w:szCs w:val="22"/>
      <w:lang w:val="sk-SK" w:eastAsia="en-US"/>
    </w:rPr>
  </w:style>
  <w:style w:type="paragraph" w:styleId="Nadpis7">
    <w:name w:val="heading 7"/>
    <w:basedOn w:val="Normln"/>
    <w:next w:val="Normln"/>
    <w:link w:val="Nadpis7Char"/>
    <w:uiPriority w:val="9"/>
    <w:qFormat/>
    <w:rsid w:val="00DB23C9"/>
    <w:pPr>
      <w:numPr>
        <w:ilvl w:val="6"/>
        <w:numId w:val="1"/>
      </w:numPr>
      <w:spacing w:before="240" w:after="60" w:line="276" w:lineRule="auto"/>
      <w:jc w:val="both"/>
      <w:outlineLvl w:val="6"/>
    </w:pPr>
    <w:rPr>
      <w:rFonts w:ascii="Calibri" w:hAnsi="Calibri"/>
      <w:lang w:val="sk-SK" w:eastAsia="en-US"/>
    </w:rPr>
  </w:style>
  <w:style w:type="paragraph" w:styleId="Nadpis8">
    <w:name w:val="heading 8"/>
    <w:basedOn w:val="Normln"/>
    <w:next w:val="Normln"/>
    <w:link w:val="Nadpis8Char"/>
    <w:uiPriority w:val="9"/>
    <w:qFormat/>
    <w:rsid w:val="00DB23C9"/>
    <w:pPr>
      <w:numPr>
        <w:ilvl w:val="7"/>
        <w:numId w:val="1"/>
      </w:numPr>
      <w:spacing w:before="240" w:after="60" w:line="276" w:lineRule="auto"/>
      <w:jc w:val="both"/>
      <w:outlineLvl w:val="7"/>
    </w:pPr>
    <w:rPr>
      <w:rFonts w:ascii="Calibri" w:hAnsi="Calibri"/>
      <w:i/>
      <w:iCs/>
      <w:lang w:val="sk-SK" w:eastAsia="en-US"/>
    </w:rPr>
  </w:style>
  <w:style w:type="paragraph" w:styleId="Nadpis9">
    <w:name w:val="heading 9"/>
    <w:basedOn w:val="Normln"/>
    <w:next w:val="Normln"/>
    <w:link w:val="Nadpis9Char"/>
    <w:uiPriority w:val="9"/>
    <w:qFormat/>
    <w:rsid w:val="00DB23C9"/>
    <w:pPr>
      <w:numPr>
        <w:ilvl w:val="8"/>
        <w:numId w:val="1"/>
      </w:numPr>
      <w:spacing w:before="240" w:after="60" w:line="276" w:lineRule="auto"/>
      <w:jc w:val="both"/>
      <w:outlineLvl w:val="8"/>
    </w:pPr>
    <w:rPr>
      <w:rFonts w:ascii="Cambria" w:hAnsi="Cambria"/>
      <w:sz w:val="22"/>
      <w:szCs w:val="22"/>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2D4B55"/>
    <w:rPr>
      <w:color w:val="0000FF"/>
      <w:u w:val="single"/>
    </w:rPr>
  </w:style>
  <w:style w:type="paragraph" w:styleId="Zhlav">
    <w:name w:val="header"/>
    <w:basedOn w:val="Normln"/>
    <w:link w:val="ZhlavChar"/>
    <w:uiPriority w:val="99"/>
    <w:unhideWhenUsed/>
    <w:rsid w:val="00C7767D"/>
    <w:pPr>
      <w:tabs>
        <w:tab w:val="center" w:pos="4536"/>
        <w:tab w:val="right" w:pos="9072"/>
      </w:tabs>
    </w:pPr>
  </w:style>
  <w:style w:type="character" w:customStyle="1" w:styleId="ZhlavChar">
    <w:name w:val="Záhlaví Char"/>
    <w:link w:val="Zhlav"/>
    <w:uiPriority w:val="99"/>
    <w:rsid w:val="00C7767D"/>
    <w:rPr>
      <w:rFonts w:ascii="Times New Roman" w:eastAsia="Times New Roman" w:hAnsi="Times New Roman"/>
      <w:sz w:val="24"/>
      <w:szCs w:val="24"/>
    </w:rPr>
  </w:style>
  <w:style w:type="paragraph" w:styleId="Zpat">
    <w:name w:val="footer"/>
    <w:basedOn w:val="Normln"/>
    <w:link w:val="ZpatChar"/>
    <w:uiPriority w:val="99"/>
    <w:unhideWhenUsed/>
    <w:rsid w:val="00C7767D"/>
    <w:pPr>
      <w:tabs>
        <w:tab w:val="center" w:pos="4536"/>
        <w:tab w:val="right" w:pos="9072"/>
      </w:tabs>
    </w:pPr>
  </w:style>
  <w:style w:type="character" w:customStyle="1" w:styleId="ZpatChar">
    <w:name w:val="Zápatí Char"/>
    <w:link w:val="Zpat"/>
    <w:uiPriority w:val="99"/>
    <w:rsid w:val="00C7767D"/>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945B9F"/>
    <w:rPr>
      <w:rFonts w:ascii="Tahoma" w:hAnsi="Tahoma" w:cs="Tahoma"/>
      <w:sz w:val="16"/>
      <w:szCs w:val="16"/>
    </w:rPr>
  </w:style>
  <w:style w:type="character" w:customStyle="1" w:styleId="TextbublinyChar">
    <w:name w:val="Text bubliny Char"/>
    <w:basedOn w:val="Standardnpsmoodstavce"/>
    <w:link w:val="Textbubliny"/>
    <w:uiPriority w:val="99"/>
    <w:semiHidden/>
    <w:rsid w:val="00945B9F"/>
    <w:rPr>
      <w:rFonts w:ascii="Tahoma" w:eastAsia="Times New Roman" w:hAnsi="Tahoma" w:cs="Tahoma"/>
      <w:sz w:val="16"/>
      <w:szCs w:val="16"/>
    </w:rPr>
  </w:style>
  <w:style w:type="table" w:styleId="Mkatabulky">
    <w:name w:val="Table Grid"/>
    <w:basedOn w:val="Normlntabulka"/>
    <w:uiPriority w:val="59"/>
    <w:rsid w:val="004D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H1 Char"/>
    <w:basedOn w:val="Standardnpsmoodstavce"/>
    <w:link w:val="Nadpis1"/>
    <w:uiPriority w:val="9"/>
    <w:rsid w:val="00DB23C9"/>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uiPriority w:val="9"/>
    <w:rsid w:val="00DB23C9"/>
    <w:rPr>
      <w:rFonts w:ascii="Cambria" w:eastAsia="Times New Roman" w:hAnsi="Cambria"/>
      <w:b/>
      <w:bCs/>
      <w:iCs/>
      <w:sz w:val="28"/>
      <w:szCs w:val="28"/>
      <w:lang w:eastAsia="en-US"/>
    </w:rPr>
  </w:style>
  <w:style w:type="character" w:customStyle="1" w:styleId="Nadpis3Char">
    <w:name w:val="Nadpis 3 Char"/>
    <w:aliases w:val="H3 Char"/>
    <w:basedOn w:val="Standardnpsmoodstavce"/>
    <w:link w:val="Nadpis3"/>
    <w:uiPriority w:val="9"/>
    <w:rsid w:val="00DB23C9"/>
    <w:rPr>
      <w:rFonts w:ascii="Cambria" w:hAnsi="Cambria"/>
      <w:bCs/>
      <w:sz w:val="24"/>
      <w:szCs w:val="24"/>
      <w:lang w:eastAsia="en-US"/>
    </w:rPr>
  </w:style>
  <w:style w:type="character" w:customStyle="1" w:styleId="Nadpis4Char">
    <w:name w:val="Nadpis 4 Char"/>
    <w:aliases w:val="H4 Char"/>
    <w:basedOn w:val="Standardnpsmoodstavce"/>
    <w:link w:val="Nadpis4"/>
    <w:uiPriority w:val="9"/>
    <w:rsid w:val="00DB23C9"/>
    <w:rPr>
      <w:rFonts w:ascii="Cambria" w:eastAsia="Times New Roman" w:hAnsi="Cambria"/>
      <w:bCs/>
      <w:sz w:val="24"/>
      <w:szCs w:val="28"/>
      <w:lang w:eastAsia="en-US"/>
    </w:rPr>
  </w:style>
  <w:style w:type="character" w:customStyle="1" w:styleId="Nadpis5Char">
    <w:name w:val="Nadpis 5 Char"/>
    <w:aliases w:val="H5 Char"/>
    <w:basedOn w:val="Standardnpsmoodstavce"/>
    <w:link w:val="Nadpis5"/>
    <w:rsid w:val="00DB23C9"/>
    <w:rPr>
      <w:rFonts w:ascii="Cambria" w:hAnsi="Cambria"/>
      <w:bCs/>
      <w:sz w:val="24"/>
      <w:szCs w:val="28"/>
      <w:lang w:eastAsia="en-US"/>
    </w:rPr>
  </w:style>
  <w:style w:type="character" w:customStyle="1" w:styleId="Nadpis6Char">
    <w:name w:val="Nadpis 6 Char"/>
    <w:basedOn w:val="Standardnpsmoodstavce"/>
    <w:link w:val="Nadpis6"/>
    <w:uiPriority w:val="9"/>
    <w:rsid w:val="00DB23C9"/>
    <w:rPr>
      <w:rFonts w:eastAsia="Times New Roman"/>
      <w:b/>
      <w:bCs/>
      <w:sz w:val="22"/>
      <w:szCs w:val="22"/>
      <w:lang w:val="sk-SK" w:eastAsia="en-US"/>
    </w:rPr>
  </w:style>
  <w:style w:type="character" w:customStyle="1" w:styleId="Nadpis7Char">
    <w:name w:val="Nadpis 7 Char"/>
    <w:basedOn w:val="Standardnpsmoodstavce"/>
    <w:link w:val="Nadpis7"/>
    <w:uiPriority w:val="9"/>
    <w:rsid w:val="00DB23C9"/>
    <w:rPr>
      <w:rFonts w:eastAsia="Times New Roman"/>
      <w:sz w:val="24"/>
      <w:szCs w:val="24"/>
      <w:lang w:val="sk-SK" w:eastAsia="en-US"/>
    </w:rPr>
  </w:style>
  <w:style w:type="character" w:customStyle="1" w:styleId="Nadpis8Char">
    <w:name w:val="Nadpis 8 Char"/>
    <w:basedOn w:val="Standardnpsmoodstavce"/>
    <w:link w:val="Nadpis8"/>
    <w:uiPriority w:val="9"/>
    <w:rsid w:val="00DB23C9"/>
    <w:rPr>
      <w:rFonts w:eastAsia="Times New Roman"/>
      <w:i/>
      <w:iCs/>
      <w:sz w:val="24"/>
      <w:szCs w:val="24"/>
      <w:lang w:val="sk-SK" w:eastAsia="en-US"/>
    </w:rPr>
  </w:style>
  <w:style w:type="character" w:customStyle="1" w:styleId="Nadpis9Char">
    <w:name w:val="Nadpis 9 Char"/>
    <w:basedOn w:val="Standardnpsmoodstavce"/>
    <w:link w:val="Nadpis9"/>
    <w:uiPriority w:val="9"/>
    <w:rsid w:val="00DB23C9"/>
    <w:rPr>
      <w:rFonts w:ascii="Cambria" w:eastAsia="Times New Roman" w:hAnsi="Cambria"/>
      <w:sz w:val="22"/>
      <w:szCs w:val="22"/>
      <w:lang w:val="sk-SK" w:eastAsia="en-US"/>
    </w:rPr>
  </w:style>
  <w:style w:type="character" w:styleId="Odkaznakoment">
    <w:name w:val="annotation reference"/>
    <w:basedOn w:val="Standardnpsmoodstavce"/>
    <w:uiPriority w:val="99"/>
    <w:semiHidden/>
    <w:unhideWhenUsed/>
    <w:rsid w:val="00165C7B"/>
    <w:rPr>
      <w:sz w:val="16"/>
      <w:szCs w:val="16"/>
    </w:rPr>
  </w:style>
  <w:style w:type="paragraph" w:styleId="Textkomente">
    <w:name w:val="annotation text"/>
    <w:basedOn w:val="Normln"/>
    <w:link w:val="TextkomenteChar"/>
    <w:uiPriority w:val="99"/>
    <w:semiHidden/>
    <w:unhideWhenUsed/>
    <w:rsid w:val="00165C7B"/>
    <w:rPr>
      <w:sz w:val="20"/>
      <w:szCs w:val="20"/>
    </w:rPr>
  </w:style>
  <w:style w:type="character" w:customStyle="1" w:styleId="TextkomenteChar">
    <w:name w:val="Text komentáře Char"/>
    <w:basedOn w:val="Standardnpsmoodstavce"/>
    <w:link w:val="Textkomente"/>
    <w:uiPriority w:val="99"/>
    <w:semiHidden/>
    <w:rsid w:val="00165C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65C7B"/>
    <w:rPr>
      <w:b/>
      <w:bCs/>
    </w:rPr>
  </w:style>
  <w:style w:type="character" w:customStyle="1" w:styleId="PedmtkomenteChar">
    <w:name w:val="Předmět komentáře Char"/>
    <w:basedOn w:val="TextkomenteChar"/>
    <w:link w:val="Pedmtkomente"/>
    <w:uiPriority w:val="99"/>
    <w:semiHidden/>
    <w:rsid w:val="00165C7B"/>
    <w:rPr>
      <w:rFonts w:ascii="Times New Roman" w:eastAsia="Times New Roman" w:hAnsi="Times New Roman"/>
      <w:b/>
      <w:bCs/>
    </w:rPr>
  </w:style>
  <w:style w:type="paragraph" w:styleId="Odstavecseseznamem">
    <w:name w:val="List Paragraph"/>
    <w:basedOn w:val="Normln"/>
    <w:uiPriority w:val="34"/>
    <w:qFormat/>
    <w:rsid w:val="008349E8"/>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04076">
      <w:bodyDiv w:val="1"/>
      <w:marLeft w:val="0"/>
      <w:marRight w:val="0"/>
      <w:marTop w:val="0"/>
      <w:marBottom w:val="0"/>
      <w:divBdr>
        <w:top w:val="none" w:sz="0" w:space="0" w:color="auto"/>
        <w:left w:val="none" w:sz="0" w:space="0" w:color="auto"/>
        <w:bottom w:val="none" w:sz="0" w:space="0" w:color="auto"/>
        <w:right w:val="none" w:sz="0" w:space="0" w:color="auto"/>
      </w:divBdr>
    </w:div>
    <w:div w:id="1012537537">
      <w:bodyDiv w:val="1"/>
      <w:marLeft w:val="0"/>
      <w:marRight w:val="0"/>
      <w:marTop w:val="0"/>
      <w:marBottom w:val="0"/>
      <w:divBdr>
        <w:top w:val="none" w:sz="0" w:space="0" w:color="auto"/>
        <w:left w:val="none" w:sz="0" w:space="0" w:color="auto"/>
        <w:bottom w:val="none" w:sz="0" w:space="0" w:color="auto"/>
        <w:right w:val="none" w:sz="0" w:space="0" w:color="auto"/>
      </w:divBdr>
    </w:div>
    <w:div w:id="1175993007">
      <w:bodyDiv w:val="1"/>
      <w:marLeft w:val="0"/>
      <w:marRight w:val="0"/>
      <w:marTop w:val="0"/>
      <w:marBottom w:val="0"/>
      <w:divBdr>
        <w:top w:val="none" w:sz="0" w:space="0" w:color="auto"/>
        <w:left w:val="none" w:sz="0" w:space="0" w:color="auto"/>
        <w:bottom w:val="none" w:sz="0" w:space="0" w:color="auto"/>
        <w:right w:val="none" w:sz="0" w:space="0" w:color="auto"/>
      </w:divBdr>
    </w:div>
    <w:div w:id="12294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s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ofily.proebiz.com/profile/4567177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C4903-5561-459C-B168-D4EF52FF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1391</Words>
  <Characters>8209</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Šturala;JZ</dc:creator>
  <cp:lastModifiedBy>Tomáš Šturala</cp:lastModifiedBy>
  <cp:revision>2</cp:revision>
  <dcterms:created xsi:type="dcterms:W3CDTF">2020-04-08T18:51:00Z</dcterms:created>
  <dcterms:modified xsi:type="dcterms:W3CDTF">2020-04-08T18:51:00Z</dcterms:modified>
</cp:coreProperties>
</file>