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369718A7" w14:textId="464475D0" w:rsidR="008A081B" w:rsidRDefault="008A081B" w:rsidP="008A081B">
      <w:pPr>
        <w:ind w:left="2552" w:hanging="2552"/>
        <w:rPr>
          <w:rFonts w:ascii="Calibri" w:hAnsi="Calibri" w:cs="Calibri"/>
          <w:b/>
          <w:szCs w:val="22"/>
        </w:rPr>
      </w:pPr>
      <w:r>
        <w:rPr>
          <w:rFonts w:ascii="Calibri" w:hAnsi="Calibri" w:cs="Calibri"/>
          <w:bCs/>
          <w:iCs/>
          <w:szCs w:val="22"/>
        </w:rPr>
        <w:t>p</w:t>
      </w:r>
      <w:r w:rsidRPr="00D11488">
        <w:rPr>
          <w:rFonts w:ascii="Calibri" w:hAnsi="Calibri" w:cs="Calibri"/>
          <w:bCs/>
          <w:iCs/>
          <w:szCs w:val="22"/>
        </w:rPr>
        <w:t xml:space="preserve">ro </w:t>
      </w:r>
      <w:r w:rsidRPr="00187106">
        <w:rPr>
          <w:rFonts w:ascii="Calibri" w:hAnsi="Calibri" w:cs="Calibri"/>
          <w:bCs/>
          <w:iCs/>
          <w:szCs w:val="22"/>
        </w:rPr>
        <w:t xml:space="preserve">veřejnou zakázku: </w:t>
      </w:r>
      <w:r w:rsidRPr="00187106">
        <w:rPr>
          <w:rFonts w:ascii="Calibri" w:hAnsi="Calibri" w:cs="Calibri"/>
          <w:bCs/>
          <w:iCs/>
          <w:szCs w:val="22"/>
        </w:rPr>
        <w:tab/>
      </w:r>
      <w:r w:rsidRPr="00187106">
        <w:rPr>
          <w:rFonts w:ascii="Calibri" w:hAnsi="Calibri" w:cs="Calibri"/>
          <w:b/>
          <w:szCs w:val="22"/>
        </w:rPr>
        <w:t>„</w:t>
      </w:r>
      <w:proofErr w:type="spellStart"/>
      <w:r w:rsidRPr="00E66CA1">
        <w:rPr>
          <w:rFonts w:ascii="Calibri" w:hAnsi="Calibri" w:cs="Calibri"/>
          <w:b/>
          <w:szCs w:val="22"/>
        </w:rPr>
        <w:t>Traťovy</w:t>
      </w:r>
      <w:proofErr w:type="spellEnd"/>
      <w:r w:rsidRPr="00E66CA1">
        <w:rPr>
          <w:rFonts w:ascii="Calibri" w:hAnsi="Calibri" w:cs="Calibri"/>
          <w:b/>
          <w:szCs w:val="22"/>
        </w:rPr>
        <w:t xml:space="preserve">́ </w:t>
      </w:r>
      <w:proofErr w:type="spellStart"/>
      <w:r w:rsidRPr="00E66CA1">
        <w:rPr>
          <w:rFonts w:ascii="Calibri" w:hAnsi="Calibri" w:cs="Calibri"/>
          <w:b/>
          <w:szCs w:val="22"/>
        </w:rPr>
        <w:t>úsek</w:t>
      </w:r>
      <w:proofErr w:type="spellEnd"/>
      <w:r w:rsidRPr="00E66CA1">
        <w:rPr>
          <w:rFonts w:ascii="Calibri" w:hAnsi="Calibri" w:cs="Calibri"/>
          <w:b/>
          <w:szCs w:val="22"/>
        </w:rPr>
        <w:t xml:space="preserve"> </w:t>
      </w:r>
      <w:r w:rsidR="00CF6600">
        <w:rPr>
          <w:rFonts w:ascii="Calibri" w:hAnsi="Calibri" w:cs="Calibri"/>
          <w:b/>
          <w:szCs w:val="22"/>
        </w:rPr>
        <w:t xml:space="preserve">Důl </w:t>
      </w:r>
      <w:proofErr w:type="spellStart"/>
      <w:r w:rsidR="00CF6600">
        <w:rPr>
          <w:rFonts w:ascii="Calibri" w:hAnsi="Calibri" w:cs="Calibri"/>
          <w:b/>
          <w:szCs w:val="22"/>
        </w:rPr>
        <w:t>Zárubek</w:t>
      </w:r>
      <w:proofErr w:type="spellEnd"/>
      <w:r w:rsidR="00CF6600" w:rsidRPr="00E66CA1">
        <w:rPr>
          <w:rFonts w:ascii="Calibri" w:hAnsi="Calibri" w:cs="Calibri"/>
          <w:b/>
          <w:szCs w:val="22"/>
        </w:rPr>
        <w:t xml:space="preserve"> – </w:t>
      </w:r>
      <w:r w:rsidR="00CF6600">
        <w:rPr>
          <w:rFonts w:ascii="Calibri" w:hAnsi="Calibri" w:cs="Calibri"/>
          <w:b/>
          <w:szCs w:val="22"/>
        </w:rPr>
        <w:t>Hranečník</w:t>
      </w:r>
      <w:r w:rsidR="00CF6600" w:rsidRPr="00E66CA1">
        <w:rPr>
          <w:rFonts w:ascii="Calibri" w:hAnsi="Calibri" w:cs="Calibri"/>
          <w:b/>
          <w:szCs w:val="22"/>
        </w:rPr>
        <w:t xml:space="preserve"> </w:t>
      </w:r>
      <w:r w:rsidRPr="00E66CA1">
        <w:rPr>
          <w:rFonts w:ascii="Calibri" w:hAnsi="Calibri" w:cs="Calibri"/>
          <w:b/>
          <w:szCs w:val="22"/>
        </w:rPr>
        <w:t xml:space="preserve">– </w:t>
      </w:r>
      <w:proofErr w:type="spellStart"/>
      <w:r w:rsidRPr="00E66CA1">
        <w:rPr>
          <w:rFonts w:ascii="Calibri" w:hAnsi="Calibri" w:cs="Calibri"/>
          <w:b/>
          <w:szCs w:val="22"/>
        </w:rPr>
        <w:t>Zvyšováni</w:t>
      </w:r>
      <w:proofErr w:type="spellEnd"/>
      <w:r w:rsidRPr="00E66CA1">
        <w:rPr>
          <w:rFonts w:ascii="Calibri" w:hAnsi="Calibri" w:cs="Calibri"/>
          <w:b/>
          <w:szCs w:val="22"/>
        </w:rPr>
        <w:t>́ rychlosti</w:t>
      </w:r>
      <w:r w:rsidRPr="00187106">
        <w:rPr>
          <w:rFonts w:ascii="Calibri" w:hAnsi="Calibri" w:cs="Calibri"/>
          <w:b/>
          <w:szCs w:val="22"/>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02B958C4"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43639AB7"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4BB45709"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561FCF94"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2.000,-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70E84" w14:textId="77777777" w:rsidR="00380C2A" w:rsidRDefault="00380C2A" w:rsidP="00360830">
      <w:r>
        <w:separator/>
      </w:r>
    </w:p>
  </w:endnote>
  <w:endnote w:type="continuationSeparator" w:id="0">
    <w:p w14:paraId="5DA5DDB8" w14:textId="77777777" w:rsidR="00380C2A" w:rsidRDefault="00380C2A"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13FA3" w14:textId="16ECC08F" w:rsidR="009A6B24" w:rsidRDefault="00CF6600" w:rsidP="005566AB">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sidR="00D1155F">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sidR="00D1155F">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FAD9F" w14:textId="5C35F71F" w:rsidR="009A6B24" w:rsidRDefault="00CF6600" w:rsidP="005566AB">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sidR="00D1155F">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sidR="00D1155F">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4DD70" w14:textId="77777777" w:rsidR="00380C2A" w:rsidRDefault="00380C2A" w:rsidP="00360830">
      <w:r>
        <w:separator/>
      </w:r>
    </w:p>
  </w:footnote>
  <w:footnote w:type="continuationSeparator" w:id="0">
    <w:p w14:paraId="56AF752A" w14:textId="77777777" w:rsidR="00380C2A" w:rsidRDefault="00380C2A"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w:t>
      </w:r>
      <w:bookmarkStart w:id="0" w:name="_GoBack"/>
      <w:bookmarkEnd w:id="0"/>
      <w:r w:rsidRPr="00CC3C24">
        <w:rPr>
          <w:rFonts w:asciiTheme="minorHAnsi" w:hAnsiTheme="minorHAnsi" w:cstheme="minorHAnsi"/>
          <w:i/>
          <w:iCs/>
        </w:rPr>
        <w: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0995" w14:textId="20A17408" w:rsidR="009A6B24" w:rsidRPr="00253B7A" w:rsidRDefault="009A6B24" w:rsidP="00253B7A">
    <w:pPr>
      <w:pStyle w:val="Zhlav"/>
      <w:spacing w:after="0"/>
      <w:jc w:val="left"/>
      <w:rPr>
        <w:i/>
        <w:iCs/>
        <w:sz w:val="24"/>
        <w:szCs w:val="24"/>
      </w:rPr>
    </w:pPr>
    <w:r w:rsidRPr="00253B7A">
      <w:rPr>
        <w:i/>
        <w:iCs/>
        <w:noProof/>
        <w:lang w:eastAsia="cs-CZ"/>
      </w:rPr>
      <w:drawing>
        <wp:anchor distT="0" distB="0" distL="114300" distR="114300" simplePos="0" relativeHeight="251659264" behindDoc="0" locked="0" layoutInCell="1" allowOverlap="1" wp14:anchorId="75380921" wp14:editId="118D59CA">
          <wp:simplePos x="0" y="0"/>
          <wp:positionH relativeFrom="page">
            <wp:posOffset>504825</wp:posOffset>
          </wp:positionH>
          <wp:positionV relativeFrom="page">
            <wp:posOffset>540385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BD739A" w:rsidRPr="00253B7A">
      <w:rPr>
        <w:i/>
        <w:iCs/>
      </w:rPr>
      <w:t xml:space="preserve">Příloha č. </w:t>
    </w:r>
    <w:r w:rsidR="00B551BD" w:rsidRPr="00253B7A">
      <w:rPr>
        <w:i/>
        <w:iCs/>
      </w:rPr>
      <w:t>1</w:t>
    </w:r>
    <w:r w:rsidR="00253B7A" w:rsidRPr="00253B7A">
      <w:rPr>
        <w:i/>
        <w:iCs/>
      </w:rPr>
      <w:t>0</w:t>
    </w:r>
    <w:r w:rsidR="00BD739A" w:rsidRPr="00253B7A">
      <w:rPr>
        <w:i/>
        <w:iCs/>
      </w:rPr>
      <w:t xml:space="preserve"> ZD</w:t>
    </w:r>
    <w:r w:rsidR="00253B7A">
      <w:rPr>
        <w:i/>
        <w:iCs/>
      </w:rPr>
      <w:t xml:space="preserve"> – Základní požadavky k zajištění BOZP</w:t>
    </w:r>
    <w:r w:rsidR="00BD739A" w:rsidRPr="00253B7A">
      <w:rPr>
        <w:i/>
        <w:iCs/>
      </w:rPr>
      <w:tab/>
    </w:r>
    <w:r w:rsidR="00BD739A" w:rsidRPr="00253B7A">
      <w:rPr>
        <w:i/>
        <w:iCs/>
      </w:rPr>
      <w:tab/>
    </w:r>
  </w:p>
  <w:p w14:paraId="452A1A7F" w14:textId="3FF5DAAF" w:rsidR="009A6B24" w:rsidRPr="00CF7595" w:rsidRDefault="00253B7A"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226FBDF0">
          <wp:simplePos x="0" y="0"/>
          <wp:positionH relativeFrom="margin">
            <wp:posOffset>4203065</wp:posOffset>
          </wp:positionH>
          <wp:positionV relativeFrom="page">
            <wp:posOffset>546100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81225" cy="619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43150"/>
    <w:rsid w:val="0006354D"/>
    <w:rsid w:val="0007345D"/>
    <w:rsid w:val="0009773C"/>
    <w:rsid w:val="000A59BF"/>
    <w:rsid w:val="000C4E61"/>
    <w:rsid w:val="000C5B9D"/>
    <w:rsid w:val="000D25B9"/>
    <w:rsid w:val="00110139"/>
    <w:rsid w:val="00133623"/>
    <w:rsid w:val="00145A19"/>
    <w:rsid w:val="001526C2"/>
    <w:rsid w:val="001631D6"/>
    <w:rsid w:val="00171707"/>
    <w:rsid w:val="001A45E7"/>
    <w:rsid w:val="001B3CDB"/>
    <w:rsid w:val="001C125D"/>
    <w:rsid w:val="001E4DD0"/>
    <w:rsid w:val="001F4F7D"/>
    <w:rsid w:val="0022495B"/>
    <w:rsid w:val="00230E86"/>
    <w:rsid w:val="00232D7D"/>
    <w:rsid w:val="00242A3A"/>
    <w:rsid w:val="00253B7A"/>
    <w:rsid w:val="00271EB9"/>
    <w:rsid w:val="00271FBB"/>
    <w:rsid w:val="00276D8B"/>
    <w:rsid w:val="0029663E"/>
    <w:rsid w:val="002B2000"/>
    <w:rsid w:val="002B73A0"/>
    <w:rsid w:val="002C08F2"/>
    <w:rsid w:val="002C1ACF"/>
    <w:rsid w:val="002C3DE4"/>
    <w:rsid w:val="003008B5"/>
    <w:rsid w:val="003078A2"/>
    <w:rsid w:val="003243C8"/>
    <w:rsid w:val="003315AA"/>
    <w:rsid w:val="00360830"/>
    <w:rsid w:val="00362826"/>
    <w:rsid w:val="00370917"/>
    <w:rsid w:val="00380C2A"/>
    <w:rsid w:val="00396176"/>
    <w:rsid w:val="003B74C1"/>
    <w:rsid w:val="003C0EB6"/>
    <w:rsid w:val="003C55AE"/>
    <w:rsid w:val="003D02B6"/>
    <w:rsid w:val="003D15BD"/>
    <w:rsid w:val="003F2FA4"/>
    <w:rsid w:val="003F530B"/>
    <w:rsid w:val="00402549"/>
    <w:rsid w:val="00450110"/>
    <w:rsid w:val="00464245"/>
    <w:rsid w:val="004661F2"/>
    <w:rsid w:val="00485886"/>
    <w:rsid w:val="00497284"/>
    <w:rsid w:val="004B2C8D"/>
    <w:rsid w:val="004B3F23"/>
    <w:rsid w:val="004D0094"/>
    <w:rsid w:val="004D0A2A"/>
    <w:rsid w:val="004E24FA"/>
    <w:rsid w:val="004E694D"/>
    <w:rsid w:val="004F5F64"/>
    <w:rsid w:val="0051285C"/>
    <w:rsid w:val="005306E0"/>
    <w:rsid w:val="00531695"/>
    <w:rsid w:val="005429C7"/>
    <w:rsid w:val="00555AAB"/>
    <w:rsid w:val="005566AB"/>
    <w:rsid w:val="00562A8D"/>
    <w:rsid w:val="0056468A"/>
    <w:rsid w:val="00567EF7"/>
    <w:rsid w:val="005738FC"/>
    <w:rsid w:val="005A5FEA"/>
    <w:rsid w:val="005B1387"/>
    <w:rsid w:val="005F709A"/>
    <w:rsid w:val="00614136"/>
    <w:rsid w:val="006207E2"/>
    <w:rsid w:val="00644EA3"/>
    <w:rsid w:val="0065709A"/>
    <w:rsid w:val="006732BA"/>
    <w:rsid w:val="0068199D"/>
    <w:rsid w:val="00695E4E"/>
    <w:rsid w:val="006B6270"/>
    <w:rsid w:val="006D163D"/>
    <w:rsid w:val="00714CA5"/>
    <w:rsid w:val="00716A20"/>
    <w:rsid w:val="007204E1"/>
    <w:rsid w:val="00722C98"/>
    <w:rsid w:val="007417BF"/>
    <w:rsid w:val="00794F98"/>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66CEA"/>
    <w:rsid w:val="00870D7E"/>
    <w:rsid w:val="00871E0A"/>
    <w:rsid w:val="00876650"/>
    <w:rsid w:val="0087779A"/>
    <w:rsid w:val="008806F4"/>
    <w:rsid w:val="00882DC3"/>
    <w:rsid w:val="008A081B"/>
    <w:rsid w:val="008B1CD5"/>
    <w:rsid w:val="008B2BEF"/>
    <w:rsid w:val="008B4CF4"/>
    <w:rsid w:val="008B538C"/>
    <w:rsid w:val="008F0855"/>
    <w:rsid w:val="009163F5"/>
    <w:rsid w:val="00932BB7"/>
    <w:rsid w:val="00962141"/>
    <w:rsid w:val="00966664"/>
    <w:rsid w:val="0098101F"/>
    <w:rsid w:val="009A6B24"/>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D0597"/>
    <w:rsid w:val="00AD4108"/>
    <w:rsid w:val="00AE2EA6"/>
    <w:rsid w:val="00AE6084"/>
    <w:rsid w:val="00AF2968"/>
    <w:rsid w:val="00B12706"/>
    <w:rsid w:val="00B15006"/>
    <w:rsid w:val="00B2320A"/>
    <w:rsid w:val="00B31897"/>
    <w:rsid w:val="00B551BD"/>
    <w:rsid w:val="00B63507"/>
    <w:rsid w:val="00B749A1"/>
    <w:rsid w:val="00B93818"/>
    <w:rsid w:val="00BC4D2D"/>
    <w:rsid w:val="00BD6B3C"/>
    <w:rsid w:val="00BD739A"/>
    <w:rsid w:val="00BE7A69"/>
    <w:rsid w:val="00BF0445"/>
    <w:rsid w:val="00C00D39"/>
    <w:rsid w:val="00C02A74"/>
    <w:rsid w:val="00C162A1"/>
    <w:rsid w:val="00C20BED"/>
    <w:rsid w:val="00C21181"/>
    <w:rsid w:val="00C35ED8"/>
    <w:rsid w:val="00C37193"/>
    <w:rsid w:val="00C72D24"/>
    <w:rsid w:val="00CA1A2F"/>
    <w:rsid w:val="00CB5F7B"/>
    <w:rsid w:val="00CE0465"/>
    <w:rsid w:val="00CE6C4F"/>
    <w:rsid w:val="00CF6600"/>
    <w:rsid w:val="00CF7595"/>
    <w:rsid w:val="00D1155F"/>
    <w:rsid w:val="00D24B69"/>
    <w:rsid w:val="00D34B00"/>
    <w:rsid w:val="00D527A9"/>
    <w:rsid w:val="00D55FFC"/>
    <w:rsid w:val="00D85B54"/>
    <w:rsid w:val="00D92C11"/>
    <w:rsid w:val="00D944C9"/>
    <w:rsid w:val="00DB64BA"/>
    <w:rsid w:val="00DC255F"/>
    <w:rsid w:val="00DF3CFF"/>
    <w:rsid w:val="00E40E74"/>
    <w:rsid w:val="00E66AC2"/>
    <w:rsid w:val="00E92E61"/>
    <w:rsid w:val="00E97538"/>
    <w:rsid w:val="00EA6B11"/>
    <w:rsid w:val="00EB74CE"/>
    <w:rsid w:val="00EC3581"/>
    <w:rsid w:val="00EC7FE4"/>
    <w:rsid w:val="00EE2F17"/>
    <w:rsid w:val="00F04EA3"/>
    <w:rsid w:val="00F234B1"/>
    <w:rsid w:val="00F26F99"/>
    <w:rsid w:val="00F46986"/>
    <w:rsid w:val="00F539F2"/>
    <w:rsid w:val="00F7509E"/>
    <w:rsid w:val="00F833E7"/>
    <w:rsid w:val="00F86022"/>
    <w:rsid w:val="00F87B6F"/>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AB439-53F2-42D0-99F6-80A3B3CEC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4813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AK ZO</cp:lastModifiedBy>
  <cp:revision>2</cp:revision>
  <cp:lastPrinted>2015-04-20T05:50:00Z</cp:lastPrinted>
  <dcterms:created xsi:type="dcterms:W3CDTF">2020-02-28T16:26:00Z</dcterms:created>
  <dcterms:modified xsi:type="dcterms:W3CDTF">2020-02-28T16:26:00Z</dcterms:modified>
</cp:coreProperties>
</file>