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1CE7" w14:textId="77777777" w:rsidR="000E6E24" w:rsidRPr="008E093F" w:rsidRDefault="009E158B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sz w:val="22"/>
          <w:szCs w:val="22"/>
        </w:rPr>
        <w:t>Příloha</w:t>
      </w:r>
      <w:r w:rsidR="000E6E24" w:rsidRPr="008E093F">
        <w:rPr>
          <w:rFonts w:ascii="Times New Roman" w:hAnsi="Times New Roman"/>
          <w:sz w:val="22"/>
          <w:szCs w:val="22"/>
        </w:rPr>
        <w:t xml:space="preserve"> </w:t>
      </w:r>
      <w:r w:rsidR="00CF77E0" w:rsidRPr="008E093F">
        <w:rPr>
          <w:rFonts w:ascii="Times New Roman" w:hAnsi="Times New Roman"/>
          <w:sz w:val="22"/>
          <w:szCs w:val="22"/>
        </w:rPr>
        <w:t>č.</w:t>
      </w:r>
      <w:r w:rsidR="001D29B9">
        <w:rPr>
          <w:rFonts w:ascii="Times New Roman" w:hAnsi="Times New Roman"/>
          <w:sz w:val="22"/>
          <w:szCs w:val="22"/>
        </w:rPr>
        <w:t>1</w:t>
      </w:r>
      <w:r w:rsidR="00CF77E0" w:rsidRPr="008E093F">
        <w:rPr>
          <w:rFonts w:ascii="Times New Roman" w:hAnsi="Times New Roman"/>
          <w:sz w:val="22"/>
          <w:szCs w:val="22"/>
        </w:rPr>
        <w:t xml:space="preserve"> </w:t>
      </w:r>
      <w:r w:rsidR="000E6E24" w:rsidRPr="008E093F">
        <w:rPr>
          <w:rFonts w:ascii="Times New Roman" w:hAnsi="Times New Roman"/>
          <w:sz w:val="22"/>
          <w:szCs w:val="22"/>
        </w:rPr>
        <w:t xml:space="preserve"> </w:t>
      </w:r>
      <w:r w:rsidR="00B12738" w:rsidRPr="008E093F">
        <w:rPr>
          <w:rFonts w:ascii="Times New Roman" w:hAnsi="Times New Roman"/>
          <w:b/>
          <w:sz w:val="22"/>
          <w:szCs w:val="22"/>
        </w:rPr>
        <w:t>Technická specifikace zboží</w:t>
      </w:r>
    </w:p>
    <w:p w14:paraId="0AF5A363" w14:textId="77777777" w:rsidR="007B0379" w:rsidRPr="008E093F" w:rsidRDefault="007B0379" w:rsidP="007B0379">
      <w:pPr>
        <w:jc w:val="center"/>
        <w:rPr>
          <w:rFonts w:ascii="Times New Roman" w:hAnsi="Times New Roman"/>
          <w:sz w:val="22"/>
          <w:szCs w:val="22"/>
        </w:rPr>
      </w:pPr>
    </w:p>
    <w:p w14:paraId="0C89BBCC" w14:textId="77777777" w:rsidR="007B0379" w:rsidRPr="008E093F" w:rsidRDefault="007B0379" w:rsidP="007B0379">
      <w:pPr>
        <w:jc w:val="center"/>
        <w:rPr>
          <w:rFonts w:ascii="Times New Roman" w:hAnsi="Times New Roman"/>
          <w:sz w:val="22"/>
          <w:szCs w:val="22"/>
        </w:rPr>
      </w:pPr>
    </w:p>
    <w:p w14:paraId="1AF648BE" w14:textId="77777777" w:rsidR="00BA1AAF" w:rsidRPr="008E093F" w:rsidRDefault="008E093F" w:rsidP="000E6E24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 xml:space="preserve">Dodáni </w:t>
      </w:r>
      <w:r w:rsidR="00FD5D78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>kabelového podvoz</w:t>
      </w:r>
      <w:r w:rsidR="00FD5D78" w:rsidRPr="00FD5D78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>k</w:t>
      </w:r>
      <w:r w:rsidR="00FD5D78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>u</w:t>
      </w:r>
      <w:r w:rsidRPr="008E093F" w:rsidDel="008E093F">
        <w:rPr>
          <w:rFonts w:ascii="Times New Roman" w:eastAsia="Times New Roman" w:hAnsi="Times New Roman"/>
          <w:b/>
          <w:bCs/>
          <w:sz w:val="28"/>
          <w:szCs w:val="22"/>
          <w:lang w:eastAsia="cs-CZ"/>
        </w:rPr>
        <w:t xml:space="preserve"> </w:t>
      </w:r>
    </w:p>
    <w:p w14:paraId="75516D5F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4FDDD93C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0CE3B93A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745A52A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5DDED7C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8E093F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8E093F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 w:rsidRPr="008E093F">
        <w:rPr>
          <w:rFonts w:ascii="Times New Roman" w:hAnsi="Times New Roman"/>
          <w:i/>
          <w:sz w:val="22"/>
          <w:szCs w:val="22"/>
        </w:rPr>
        <w:t>.</w:t>
      </w:r>
    </w:p>
    <w:p w14:paraId="0DEC94DA" w14:textId="0C843E3A" w:rsidR="00BA1AAF" w:rsidRPr="008E093F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8E093F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8E093F">
        <w:rPr>
          <w:rFonts w:ascii="Times New Roman" w:hAnsi="Times New Roman"/>
          <w:i/>
          <w:sz w:val="22"/>
          <w:szCs w:val="22"/>
          <w:lang w:eastAsia="cs-CZ"/>
        </w:rPr>
        <w:t>)</w:t>
      </w:r>
      <w:r w:rsidR="00C409C1">
        <w:rPr>
          <w:rFonts w:ascii="Times New Roman" w:hAnsi="Times New Roman"/>
          <w:i/>
          <w:sz w:val="22"/>
          <w:szCs w:val="22"/>
          <w:lang w:eastAsia="cs-CZ"/>
        </w:rPr>
        <w:t xml:space="preserve"> </w:t>
      </w:r>
      <w:r w:rsidRPr="008E093F">
        <w:rPr>
          <w:rFonts w:ascii="Times New Roman" w:hAnsi="Times New Roman"/>
          <w:i/>
          <w:sz w:val="22"/>
          <w:szCs w:val="22"/>
        </w:rPr>
        <w:t>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Takto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doplněná technická specifikace zboží bude tvořit samostatnou přílohu</w:t>
      </w:r>
      <w:r w:rsidRPr="008E093F"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předložená technická specifikace zboží k předmětu plnění nebude obsahovat požadovaná patřičná vyjádření, nebo nesplní požadovanou technickou specifikaci zboží, bude nabídka posouzena jako nesplňující zadávací podmínky.  </w:t>
      </w:r>
    </w:p>
    <w:p w14:paraId="48172AC3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</w:t>
      </w:r>
      <w:bookmarkStart w:id="0" w:name="_GoBack"/>
      <w:bookmarkEnd w:id="0"/>
      <w:r w:rsidRPr="008E093F">
        <w:rPr>
          <w:rFonts w:ascii="Times New Roman" w:hAnsi="Times New Roman"/>
          <w:i/>
          <w:sz w:val="22"/>
          <w:szCs w:val="22"/>
        </w:rPr>
        <w:t>nabídce může být nahrazen jiným výrobkem nebo technologií srovnatelných, nebo lepších vlastností.</w:t>
      </w:r>
    </w:p>
    <w:p w14:paraId="3BD06431" w14:textId="77777777" w:rsidR="00580513" w:rsidRPr="008E093F" w:rsidRDefault="00BA1AAF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8E093F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44A06E1D" w14:textId="77777777" w:rsidR="00580513" w:rsidRPr="008E093F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8E093F" w14:paraId="74260D35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AD1EDB" w14:textId="77777777" w:rsidR="00FD5D78" w:rsidRDefault="00FD5D78" w:rsidP="00FD5D78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FD5D7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Kabelový podvozek</w:t>
            </w:r>
          </w:p>
          <w:p w14:paraId="6185ACF8" w14:textId="2A99747D" w:rsidR="00C83B04" w:rsidRPr="008E093F" w:rsidRDefault="00B93C5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8E093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 w:rsidRPr="008E093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0499822" w14:textId="77777777" w:rsidR="00C83B04" w:rsidRPr="008E093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 w:rsidR="00FD5D78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5E3BBA" w14:textId="77777777" w:rsidR="00C83B04" w:rsidRPr="008E093F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8E093F" w14:paraId="3FC004C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2D5A4C3" w14:textId="77777777" w:rsidR="00C83B04" w:rsidRPr="00FB1451" w:rsidRDefault="00FB1451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ednonápravový (bez rezervního kola</w:t>
            </w:r>
            <w:r w:rsidR="00A16FA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91EBD03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B45CC6A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4632A02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4843350" w14:textId="77777777" w:rsidR="00C83B04" w:rsidRPr="00FB1451" w:rsidRDefault="00FB1451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neumatiky pro celoroční použití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B168EB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12C595" w14:textId="77777777" w:rsidR="00C83B04" w:rsidRPr="008E093F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515E3A82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F3796EC" w14:textId="77777777" w:rsidR="00C83B04" w:rsidRPr="00FB1451" w:rsidRDefault="00FB1451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žitečná hmotnost min. 4 400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A59488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53FF31C" w14:textId="0225193A" w:rsidR="00C83B04" w:rsidRPr="008E093F" w:rsidRDefault="00C83B04" w:rsidP="00FD5D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34292F9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6F7760E" w14:textId="77777777" w:rsidR="00C83B04" w:rsidRPr="00FB1451" w:rsidRDefault="00FB1451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celové hřídele (osy kabelových cívek) Ø  75 mm a  Ø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78AEFB" w14:textId="77777777" w:rsidR="00C83B04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DDC05A" w14:textId="77777777" w:rsidR="00C83B04" w:rsidRPr="008E093F" w:rsidRDefault="00FD5D78" w:rsidP="00FD5D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36EE3" w:rsidRPr="008E093F" w14:paraId="54B62111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B126C53" w14:textId="591838BD" w:rsidR="00536EE3" w:rsidRPr="00FB1451" w:rsidRDefault="002D1ECD" w:rsidP="002D1ECD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B1451" w:rsidRPr="00FB1451">
              <w:rPr>
                <w:rFonts w:ascii="Times New Roman" w:hAnsi="Times New Roman"/>
                <w:sz w:val="22"/>
                <w:szCs w:val="22"/>
              </w:rPr>
              <w:t xml:space="preserve">růměr kabelového bubnu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FB1451" w:rsidRPr="00FB1451">
              <w:rPr>
                <w:rFonts w:ascii="Times New Roman" w:hAnsi="Times New Roman"/>
                <w:sz w:val="22"/>
                <w:szCs w:val="22"/>
              </w:rPr>
              <w:t>2 200 m</w:t>
            </w:r>
            <w:r w:rsidR="00BF0DD4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D26ACA" w14:textId="77777777" w:rsidR="00536EE3" w:rsidRPr="008E093F" w:rsidRDefault="00FD5D78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57C1E4" w14:textId="77777777" w:rsidR="00536EE3" w:rsidRPr="008E093F" w:rsidRDefault="00FD5D78" w:rsidP="00FD5D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F0DD4" w:rsidRPr="008E093F" w14:paraId="301F765D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532D1A2" w14:textId="11458F5E" w:rsidR="00BF0DD4" w:rsidRDefault="002D1ECD" w:rsidP="002D1ECD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="00BF0DD4">
              <w:rPr>
                <w:rFonts w:ascii="Times New Roman" w:hAnsi="Times New Roman"/>
                <w:sz w:val="22"/>
                <w:szCs w:val="22"/>
              </w:rPr>
              <w:t xml:space="preserve">áha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kabelového </w:t>
            </w:r>
            <w:r w:rsidR="00BF0DD4">
              <w:rPr>
                <w:rFonts w:ascii="Times New Roman" w:hAnsi="Times New Roman"/>
                <w:sz w:val="22"/>
                <w:szCs w:val="22"/>
              </w:rPr>
              <w:t xml:space="preserve">bubnu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až </w:t>
            </w:r>
            <w:r w:rsidR="00BF0DD4">
              <w:rPr>
                <w:rFonts w:ascii="Times New Roman" w:hAnsi="Times New Roman"/>
                <w:sz w:val="22"/>
                <w:szCs w:val="22"/>
              </w:rPr>
              <w:t>2 500kg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A10BF8" w14:textId="4D5DF04F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54F3F3" w14:textId="36273A45" w:rsidR="00BF0DD4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F0DD4" w:rsidRPr="008E093F" w14:paraId="6E6ADD59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A1F6FD3" w14:textId="78F184EF" w:rsidR="00BF0DD4" w:rsidRPr="00FB1451" w:rsidRDefault="002D1ECD" w:rsidP="00F91D81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Minimální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0DD4" w:rsidRPr="00FB1451">
              <w:rPr>
                <w:rFonts w:ascii="Times New Roman" w:hAnsi="Times New Roman"/>
                <w:sz w:val="22"/>
                <w:szCs w:val="22"/>
              </w:rPr>
              <w:t xml:space="preserve">šířka kabelového bubnu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pro hřídel </w:t>
            </w:r>
            <w:r w:rsidR="00F91D8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Ø 76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mm </w:t>
            </w:r>
            <w:r w:rsidR="00BF0DD4" w:rsidRPr="00FB1451">
              <w:rPr>
                <w:rFonts w:ascii="Times New Roman" w:hAnsi="Times New Roman"/>
                <w:sz w:val="22"/>
                <w:szCs w:val="22"/>
              </w:rPr>
              <w:t xml:space="preserve"> 1 450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311EC02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97FA51" w14:textId="6485CF24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0DD4" w:rsidRPr="008E093F" w14:paraId="791CC4AD" w14:textId="77777777" w:rsidTr="00FB1451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4BA9D24" w14:textId="4FB3015A" w:rsidR="00BF0DD4" w:rsidRPr="00FB1451" w:rsidRDefault="002D1ECD" w:rsidP="00F91D8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Minimální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 šířka kabelového bubnu pro hřídel </w:t>
            </w:r>
            <w:r w:rsidR="00F91D8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Ø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 mm 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 mm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2B20A7" w14:textId="77777777" w:rsidR="00BF0DD4" w:rsidRPr="008E093F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9097CF" w14:textId="2147AC0B" w:rsidR="00BF0DD4" w:rsidRPr="008E093F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7319AD42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FB210F0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vládání zdvihu bubnu ruční hydraulickou pumpou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40BD33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A72A9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2B410B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AC5C155" w14:textId="2317D312" w:rsidR="00BF0DD4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naložení bubnu bez použití jiné mechanizace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969D8A" w14:textId="2DAF8AE0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02691CB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3D15AC01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B18A4FA" w14:textId="559FED5F" w:rsidR="00BF0DD4" w:rsidRPr="00FB1451" w:rsidRDefault="00BF0DD4" w:rsidP="002D1EC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M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 xml:space="preserve">echanická brzda hřídele bubnu pro regulaci odvíjení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7DE928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66714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1591B60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3748712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lektrická instalace zdvojená 12/24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6E75D0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AA6FD9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6B35B86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2009DA9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zduchové dvouokruhové brzdy se systémem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AD0694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E23FB8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A6CB1E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9CAE9D0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ýškově stavitelná oj s okem Ø 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78AB00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45020D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6184ADBE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6F08950" w14:textId="77777777" w:rsidR="00BF0DD4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Tažné oko pro samonaváděcí tažná zařízení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D0789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AFDB80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12B3690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A0A2F9C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1451">
              <w:rPr>
                <w:rFonts w:ascii="Times New Roman" w:hAnsi="Times New Roman"/>
                <w:sz w:val="22"/>
                <w:szCs w:val="22"/>
              </w:rPr>
              <w:t>2 ks centrovací kónusy pro vystředění cívky na hřídeli  Ø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D1487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D6D4E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377601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7D219BA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1451">
              <w:rPr>
                <w:rFonts w:ascii="Times New Roman" w:hAnsi="Times New Roman"/>
                <w:sz w:val="22"/>
                <w:szCs w:val="22"/>
              </w:rPr>
              <w:t>2 ks centrovací kónusy pro vystředění cívky na hřídeli  Ø 76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31ADAB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E03C54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8867D0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5AE630A" w14:textId="77777777" w:rsidR="00BF0DD4" w:rsidRPr="00FB1451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FB1451">
              <w:rPr>
                <w:rFonts w:ascii="Times New Roman" w:hAnsi="Times New Roman"/>
                <w:sz w:val="22"/>
                <w:szCs w:val="22"/>
              </w:rPr>
              <w:t>chválení podvozku pro rychlost 80 km/hod.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1A6D2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DAF218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5CAFAF3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76539F" w14:textId="2C7BBA0F" w:rsidR="00BF0DD4" w:rsidRPr="00FB1451" w:rsidRDefault="00687F3B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Barva vozidla světle modrá (odstín jako </w:t>
            </w:r>
            <w:r>
              <w:rPr>
                <w:rFonts w:eastAsia="Times New Roman"/>
              </w:rPr>
              <w:t>NCS S 1555 - B10G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), (konečný odstín dodavateli odsouhlasí kupující)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72E6CF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0D6A31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1C7B50D2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AE1D3E1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D5D78">
              <w:rPr>
                <w:rFonts w:ascii="Times New Roman" w:hAnsi="Times New Roman"/>
                <w:b/>
                <w:sz w:val="22"/>
                <w:szCs w:val="22"/>
              </w:rPr>
              <w:t>Kolejový adaptér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8A4518" w14:textId="77777777" w:rsidR="00BF0DD4" w:rsidRPr="00FD5D78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8961D7" w14:textId="77777777" w:rsidR="00BF0DD4" w:rsidRPr="00FD5D78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F0DD4" w:rsidRPr="008E093F" w14:paraId="2AB8287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1D8485A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Musí umožňovat jízdu po síti tramvajových tratí Dopravního podniku Ostrava a.s. s rozchodem kolejnic 1 435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15C8A2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2CAB6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36DCB5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5F64BB4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Minimální poloměr průjezdného oblouku 20 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C321B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F2387C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34EAA5C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61D5C82" w14:textId="6E9FFB81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 xml:space="preserve">Profil kola adaptéru DPO-4N70 (viz příloha č. </w:t>
            </w:r>
            <w:r w:rsidR="006730CD">
              <w:rPr>
                <w:rFonts w:ascii="Times New Roman" w:hAnsi="Times New Roman"/>
                <w:sz w:val="22"/>
                <w:szCs w:val="22"/>
              </w:rPr>
              <w:t>2</w:t>
            </w:r>
            <w:r w:rsidRPr="00FD5D7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72B3A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62F1F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7BD0F7A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8E734CA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Šířka kola kolejového adaptéru 120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E0ED4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FB394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448E259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ABA084E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Brzdový systém kolejového adaptéru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DD6031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0C0190E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2A66484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C452D8F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Výška kolejového adaptéru při silničním provozu min. 130 mm nad vozovkou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F18BA9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879B86" w14:textId="73624B5F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626306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0F0D65E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Výška součástí kolejového adaptéru min. 120 mm nad temenem kolejnice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5C9B8F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5C87465" w14:textId="1CF27100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0EBE06F6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1C37AA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Ovládání adaptéru ruční hydraulickou pumpou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90307B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A0893F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5E908D60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B1DD360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Požadavek napojení brzdového systému kolejového adaptéru na vzduchový rozvod vozidla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42D2B5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9A3282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DD4" w:rsidRPr="008E093F" w14:paraId="6C0C920D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8C8825" w14:textId="77777777" w:rsidR="00BF0DD4" w:rsidRPr="00FD5D78" w:rsidRDefault="00BF0DD4" w:rsidP="00BF0DD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5D78">
              <w:rPr>
                <w:rFonts w:ascii="Times New Roman" w:hAnsi="Times New Roman"/>
                <w:sz w:val="22"/>
                <w:szCs w:val="22"/>
              </w:rPr>
              <w:t>Vybavení adaptéru zajišťovací ruční brzdou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4FDF57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8E093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37D5AA" w14:textId="77777777" w:rsidR="00BF0DD4" w:rsidRPr="008E093F" w:rsidRDefault="00BF0DD4" w:rsidP="00BF0DD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4BFEE0" w14:textId="77777777" w:rsidR="00FD3EA0" w:rsidRPr="008E093F" w:rsidRDefault="00FD3EA0" w:rsidP="00FD3EA0">
      <w:pPr>
        <w:ind w:left="0" w:right="70"/>
        <w:jc w:val="both"/>
        <w:rPr>
          <w:rFonts w:ascii="Times New Roman" w:hAnsi="Times New Roman"/>
          <w:b/>
          <w:sz w:val="22"/>
          <w:szCs w:val="22"/>
        </w:rPr>
      </w:pPr>
    </w:p>
    <w:p w14:paraId="337D9E7C" w14:textId="77777777" w:rsidR="00FD3EA0" w:rsidRPr="008E093F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7535BCFB" w14:textId="77777777" w:rsidR="002D69C4" w:rsidRPr="008E093F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>...........................................</w:t>
      </w:r>
      <w:r w:rsidR="00EB623C" w:rsidRPr="008E093F">
        <w:rPr>
          <w:rFonts w:ascii="Times New Roman" w:hAnsi="Times New Roman"/>
          <w:b/>
          <w:sz w:val="22"/>
          <w:szCs w:val="22"/>
        </w:rPr>
        <w:t>..............</w:t>
      </w:r>
      <w:r w:rsidRPr="008E093F">
        <w:rPr>
          <w:rFonts w:ascii="Times New Roman" w:hAnsi="Times New Roman"/>
          <w:b/>
          <w:sz w:val="22"/>
          <w:szCs w:val="22"/>
        </w:rPr>
        <w:t>.........</w:t>
      </w:r>
    </w:p>
    <w:p w14:paraId="299FE365" w14:textId="77777777" w:rsidR="000958CD" w:rsidRPr="008E093F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i/>
          <w:color w:val="00B0F0"/>
          <w:sz w:val="22"/>
          <w:szCs w:val="22"/>
        </w:rPr>
        <w:t>Jméno a podpis oprávněné osoby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 xml:space="preserve"> dodavatele</w:t>
      </w:r>
    </w:p>
    <w:sectPr w:rsidR="000958CD" w:rsidRPr="008E093F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3AD6F" w14:textId="77777777" w:rsidR="00F45D80" w:rsidRDefault="00F45D80">
      <w:r>
        <w:separator/>
      </w:r>
    </w:p>
  </w:endnote>
  <w:endnote w:type="continuationSeparator" w:id="0">
    <w:p w14:paraId="2236920D" w14:textId="77777777" w:rsidR="00F45D80" w:rsidRDefault="00F4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0346A" w14:textId="77777777" w:rsidR="00F45D80" w:rsidRDefault="00F45D80">
      <w:r>
        <w:separator/>
      </w:r>
    </w:p>
  </w:footnote>
  <w:footnote w:type="continuationSeparator" w:id="0">
    <w:p w14:paraId="1B4F2D0D" w14:textId="77777777" w:rsidR="00F45D80" w:rsidRDefault="00F4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15"/>
  </w:num>
  <w:num w:numId="28">
    <w:abstractNumId w:val="31"/>
  </w:num>
  <w:num w:numId="29">
    <w:abstractNumId w:val="26"/>
  </w:num>
  <w:num w:numId="30">
    <w:abstractNumId w:val="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1E44"/>
    <w:rsid w:val="00104F36"/>
    <w:rsid w:val="00113520"/>
    <w:rsid w:val="00117790"/>
    <w:rsid w:val="00122768"/>
    <w:rsid w:val="00132829"/>
    <w:rsid w:val="00133AD4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9B9"/>
    <w:rsid w:val="001D2E1D"/>
    <w:rsid w:val="001D2E6F"/>
    <w:rsid w:val="001D67AD"/>
    <w:rsid w:val="001E325D"/>
    <w:rsid w:val="001E774C"/>
    <w:rsid w:val="00224F0B"/>
    <w:rsid w:val="002377D3"/>
    <w:rsid w:val="00241E9E"/>
    <w:rsid w:val="0025635A"/>
    <w:rsid w:val="00257396"/>
    <w:rsid w:val="00261031"/>
    <w:rsid w:val="002654A1"/>
    <w:rsid w:val="00266F2D"/>
    <w:rsid w:val="00271495"/>
    <w:rsid w:val="00274067"/>
    <w:rsid w:val="00276F4B"/>
    <w:rsid w:val="00294F71"/>
    <w:rsid w:val="00297458"/>
    <w:rsid w:val="002A3178"/>
    <w:rsid w:val="002B1D68"/>
    <w:rsid w:val="002C08F1"/>
    <w:rsid w:val="002D05CE"/>
    <w:rsid w:val="002D1ECD"/>
    <w:rsid w:val="002D2F33"/>
    <w:rsid w:val="002D4136"/>
    <w:rsid w:val="002D69C4"/>
    <w:rsid w:val="002E4B3C"/>
    <w:rsid w:val="002F0168"/>
    <w:rsid w:val="003164FD"/>
    <w:rsid w:val="00345DCB"/>
    <w:rsid w:val="00362624"/>
    <w:rsid w:val="00366BF7"/>
    <w:rsid w:val="00372FD0"/>
    <w:rsid w:val="00373DF5"/>
    <w:rsid w:val="00384C84"/>
    <w:rsid w:val="00387840"/>
    <w:rsid w:val="003B074E"/>
    <w:rsid w:val="003B2C29"/>
    <w:rsid w:val="003C496F"/>
    <w:rsid w:val="003D3FFC"/>
    <w:rsid w:val="003D4A85"/>
    <w:rsid w:val="003F07FF"/>
    <w:rsid w:val="003F5CC4"/>
    <w:rsid w:val="004063EA"/>
    <w:rsid w:val="00410C5A"/>
    <w:rsid w:val="00425CB8"/>
    <w:rsid w:val="00430C06"/>
    <w:rsid w:val="0043457C"/>
    <w:rsid w:val="0044475F"/>
    <w:rsid w:val="004634E1"/>
    <w:rsid w:val="00475A28"/>
    <w:rsid w:val="0047796D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36EE3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01CD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730CD"/>
    <w:rsid w:val="006851A8"/>
    <w:rsid w:val="00687F3B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35995"/>
    <w:rsid w:val="00745756"/>
    <w:rsid w:val="00754FAF"/>
    <w:rsid w:val="00755D4E"/>
    <w:rsid w:val="00766BC9"/>
    <w:rsid w:val="00775618"/>
    <w:rsid w:val="007768EB"/>
    <w:rsid w:val="00777BA6"/>
    <w:rsid w:val="00784127"/>
    <w:rsid w:val="00786CBA"/>
    <w:rsid w:val="00790C1A"/>
    <w:rsid w:val="007A5D7C"/>
    <w:rsid w:val="007B0379"/>
    <w:rsid w:val="007C48CF"/>
    <w:rsid w:val="007D1116"/>
    <w:rsid w:val="007D7F93"/>
    <w:rsid w:val="007F6018"/>
    <w:rsid w:val="00800DDC"/>
    <w:rsid w:val="008016B6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2415"/>
    <w:rsid w:val="008A313C"/>
    <w:rsid w:val="008D113B"/>
    <w:rsid w:val="008D6EF9"/>
    <w:rsid w:val="008E093F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4C0E"/>
    <w:rsid w:val="00986A92"/>
    <w:rsid w:val="00987A9F"/>
    <w:rsid w:val="0099482B"/>
    <w:rsid w:val="009A7F2A"/>
    <w:rsid w:val="009B75B2"/>
    <w:rsid w:val="009C52A9"/>
    <w:rsid w:val="009C6525"/>
    <w:rsid w:val="009D64FB"/>
    <w:rsid w:val="009E158B"/>
    <w:rsid w:val="009E2C0E"/>
    <w:rsid w:val="009F0C6A"/>
    <w:rsid w:val="00A02CE5"/>
    <w:rsid w:val="00A038C9"/>
    <w:rsid w:val="00A162FE"/>
    <w:rsid w:val="00A16FAC"/>
    <w:rsid w:val="00A17140"/>
    <w:rsid w:val="00A4089A"/>
    <w:rsid w:val="00A52516"/>
    <w:rsid w:val="00A601C1"/>
    <w:rsid w:val="00A6763B"/>
    <w:rsid w:val="00A72DC8"/>
    <w:rsid w:val="00A90A91"/>
    <w:rsid w:val="00AB3D01"/>
    <w:rsid w:val="00AB4067"/>
    <w:rsid w:val="00AC1D6A"/>
    <w:rsid w:val="00AD1BE6"/>
    <w:rsid w:val="00AE5E5F"/>
    <w:rsid w:val="00AF15E3"/>
    <w:rsid w:val="00AF7786"/>
    <w:rsid w:val="00AF7CDE"/>
    <w:rsid w:val="00B066AB"/>
    <w:rsid w:val="00B113AB"/>
    <w:rsid w:val="00B12738"/>
    <w:rsid w:val="00B23E77"/>
    <w:rsid w:val="00B31564"/>
    <w:rsid w:val="00B40979"/>
    <w:rsid w:val="00B525A5"/>
    <w:rsid w:val="00B53564"/>
    <w:rsid w:val="00B701C9"/>
    <w:rsid w:val="00B70ACD"/>
    <w:rsid w:val="00B71D91"/>
    <w:rsid w:val="00B72C6D"/>
    <w:rsid w:val="00B73428"/>
    <w:rsid w:val="00B77B86"/>
    <w:rsid w:val="00B80DAC"/>
    <w:rsid w:val="00B93C54"/>
    <w:rsid w:val="00BA1AAF"/>
    <w:rsid w:val="00BA47A0"/>
    <w:rsid w:val="00BB55D0"/>
    <w:rsid w:val="00BB6B5A"/>
    <w:rsid w:val="00BC3321"/>
    <w:rsid w:val="00BD0563"/>
    <w:rsid w:val="00BE122D"/>
    <w:rsid w:val="00BE6D06"/>
    <w:rsid w:val="00BF0DD4"/>
    <w:rsid w:val="00BF46DA"/>
    <w:rsid w:val="00BF7A24"/>
    <w:rsid w:val="00C031BE"/>
    <w:rsid w:val="00C05D11"/>
    <w:rsid w:val="00C06E82"/>
    <w:rsid w:val="00C1066B"/>
    <w:rsid w:val="00C14649"/>
    <w:rsid w:val="00C409C1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45AD3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80"/>
    <w:rsid w:val="00F45DE0"/>
    <w:rsid w:val="00F5637B"/>
    <w:rsid w:val="00F705F4"/>
    <w:rsid w:val="00F70835"/>
    <w:rsid w:val="00F72520"/>
    <w:rsid w:val="00F75FB3"/>
    <w:rsid w:val="00F76454"/>
    <w:rsid w:val="00F77C21"/>
    <w:rsid w:val="00F91D81"/>
    <w:rsid w:val="00F92440"/>
    <w:rsid w:val="00F927DD"/>
    <w:rsid w:val="00F9424D"/>
    <w:rsid w:val="00F94602"/>
    <w:rsid w:val="00FA7DD7"/>
    <w:rsid w:val="00FB1451"/>
    <w:rsid w:val="00FC5CE7"/>
    <w:rsid w:val="00FD05CE"/>
    <w:rsid w:val="00FD3EA0"/>
    <w:rsid w:val="00FD5D78"/>
    <w:rsid w:val="00FD7499"/>
    <w:rsid w:val="00FE30D8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81A60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735995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EFCF-0F75-4694-8C39-0E73C280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3</cp:revision>
  <cp:lastPrinted>2018-01-26T07:47:00Z</cp:lastPrinted>
  <dcterms:created xsi:type="dcterms:W3CDTF">2020-06-03T09:39:00Z</dcterms:created>
  <dcterms:modified xsi:type="dcterms:W3CDTF">2020-06-03T09:48:00Z</dcterms:modified>
</cp:coreProperties>
</file>