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AE7A09" w:rsidRDefault="00AE7A09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1573B">
        <w:rPr>
          <w:rFonts w:ascii="Arial Narrow" w:hAnsi="Arial Narrow"/>
          <w:b/>
          <w:sz w:val="28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bookmarkStart w:id="0" w:name="_GoBack"/>
      <w:bookmarkEnd w:id="0"/>
    </w:p>
    <w:p w:rsidR="002670D7" w:rsidRDefault="00D21C67" w:rsidP="00AE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20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AE7A09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3E6781" w:rsidP="00C316C1">
      <w:pPr>
        <w:jc w:val="both"/>
        <w:rPr>
          <w:rFonts w:ascii="Arial Narrow" w:hAnsi="Arial Narrow"/>
          <w:b/>
          <w:sz w:val="24"/>
        </w:rPr>
      </w:pPr>
      <w:r w:rsidRPr="003E6781">
        <w:rPr>
          <w:rFonts w:ascii="Arial Narrow" w:hAnsi="Arial Narrow"/>
          <w:b/>
          <w:sz w:val="24"/>
        </w:rPr>
        <w:t>ODBORNÉ A BEZBARIÉROVÉ VZDĚLÁVÁNÍ V NOVÝCH UČEBNÁCH ZŠ VANČUROVA HODONÍN – STAVEBNÍ ÚPRAVY, BEZBARIÉROVÉ ŘEŠENÍ STAVBY</w:t>
      </w:r>
      <w:r w:rsidR="003B6DCE" w:rsidRPr="00290DF0">
        <w:rPr>
          <w:rFonts w:ascii="Arial Narrow" w:hAnsi="Arial Narrow"/>
          <w:b/>
          <w:sz w:val="24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3C" w:rsidRDefault="00F9233C" w:rsidP="0025251D">
      <w:r>
        <w:separator/>
      </w:r>
    </w:p>
  </w:endnote>
  <w:endnote w:type="continuationSeparator" w:id="0">
    <w:p w:rsidR="00F9233C" w:rsidRDefault="00F9233C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3C" w:rsidRDefault="00F9233C" w:rsidP="0025251D">
      <w:r>
        <w:separator/>
      </w:r>
    </w:p>
  </w:footnote>
  <w:footnote w:type="continuationSeparator" w:id="0">
    <w:p w:rsidR="00F9233C" w:rsidRDefault="00F9233C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02" w:rsidRDefault="00F40702" w:rsidP="00F40702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E1E3872" wp14:editId="386819C6">
          <wp:simplePos x="0" y="0"/>
          <wp:positionH relativeFrom="margin">
            <wp:posOffset>-62865</wp:posOffset>
          </wp:positionH>
          <wp:positionV relativeFrom="topMargin">
            <wp:posOffset>306070</wp:posOffset>
          </wp:positionV>
          <wp:extent cx="5724525" cy="5905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0702" w:rsidRDefault="00F40702" w:rsidP="00311EFD">
    <w:pPr>
      <w:spacing w:line="276" w:lineRule="auto"/>
      <w:jc w:val="both"/>
      <w:rPr>
        <w:rFonts w:ascii="Arial Narrow" w:hAnsi="Arial Narrow"/>
        <w:sz w:val="16"/>
      </w:rPr>
    </w:pPr>
  </w:p>
  <w:p w:rsidR="00F40702" w:rsidRDefault="00F40702" w:rsidP="00311EFD">
    <w:pPr>
      <w:spacing w:line="276" w:lineRule="auto"/>
      <w:jc w:val="both"/>
      <w:rPr>
        <w:rFonts w:ascii="Arial Narrow" w:hAnsi="Arial Narrow"/>
        <w:sz w:val="16"/>
      </w:rPr>
    </w:pPr>
  </w:p>
  <w:p w:rsidR="00F40702" w:rsidRDefault="00F40702" w:rsidP="00311EFD">
    <w:pPr>
      <w:spacing w:line="276" w:lineRule="auto"/>
      <w:jc w:val="both"/>
      <w:rPr>
        <w:rFonts w:ascii="Arial Narrow" w:hAnsi="Arial Narrow"/>
        <w:sz w:val="16"/>
      </w:rPr>
    </w:pPr>
  </w:p>
  <w:p w:rsidR="00C316C1" w:rsidRDefault="00F9233C" w:rsidP="00AE7A09">
    <w:pPr>
      <w:spacing w:line="276" w:lineRule="auto"/>
      <w:jc w:val="both"/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6E2CD8">
      <w:rPr>
        <w:rFonts w:ascii="Arial Narrow" w:hAnsi="Arial Narrow"/>
        <w:sz w:val="16"/>
      </w:rPr>
      <w:t>4</w:t>
    </w:r>
    <w:r w:rsidR="00061AD2">
      <w:rPr>
        <w:rFonts w:ascii="Arial Narrow" w:hAnsi="Arial Narrow"/>
        <w:sz w:val="16"/>
      </w:rPr>
      <w:t xml:space="preserve"> ZD</w:t>
    </w:r>
    <w:r w:rsidR="00AE7A09">
      <w:rPr>
        <w:rFonts w:ascii="Arial Narrow" w:hAnsi="Arial Narrow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1AD2"/>
    <w:rsid w:val="00065704"/>
    <w:rsid w:val="00075A09"/>
    <w:rsid w:val="000C5895"/>
    <w:rsid w:val="000C6424"/>
    <w:rsid w:val="000D7535"/>
    <w:rsid w:val="00105770"/>
    <w:rsid w:val="001171B4"/>
    <w:rsid w:val="001319FA"/>
    <w:rsid w:val="00137FAE"/>
    <w:rsid w:val="00194969"/>
    <w:rsid w:val="00195A59"/>
    <w:rsid w:val="0021573B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E6781"/>
    <w:rsid w:val="003F76EA"/>
    <w:rsid w:val="00413E0D"/>
    <w:rsid w:val="004356BE"/>
    <w:rsid w:val="00456871"/>
    <w:rsid w:val="0048218F"/>
    <w:rsid w:val="004A5AA2"/>
    <w:rsid w:val="004B0FDF"/>
    <w:rsid w:val="004D71D9"/>
    <w:rsid w:val="005019AB"/>
    <w:rsid w:val="005741BF"/>
    <w:rsid w:val="00597917"/>
    <w:rsid w:val="00626771"/>
    <w:rsid w:val="006502E3"/>
    <w:rsid w:val="006734F4"/>
    <w:rsid w:val="006A3124"/>
    <w:rsid w:val="006E2CD8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AE7A09"/>
    <w:rsid w:val="00B07143"/>
    <w:rsid w:val="00B15999"/>
    <w:rsid w:val="00B34418"/>
    <w:rsid w:val="00B72B47"/>
    <w:rsid w:val="00BB7713"/>
    <w:rsid w:val="00BC1632"/>
    <w:rsid w:val="00C24DDF"/>
    <w:rsid w:val="00C316C1"/>
    <w:rsid w:val="00C374BE"/>
    <w:rsid w:val="00C44BE8"/>
    <w:rsid w:val="00C7121A"/>
    <w:rsid w:val="00C82BB7"/>
    <w:rsid w:val="00C86639"/>
    <w:rsid w:val="00CA0C19"/>
    <w:rsid w:val="00CF4417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40702"/>
    <w:rsid w:val="00F75926"/>
    <w:rsid w:val="00F9233C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2C4E-1F63-46D3-A51A-2894B3EA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17</cp:revision>
  <dcterms:created xsi:type="dcterms:W3CDTF">2018-03-29T05:57:00Z</dcterms:created>
  <dcterms:modified xsi:type="dcterms:W3CDTF">2020-05-21T13:01:00Z</dcterms:modified>
</cp:coreProperties>
</file>