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BB7319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</w:t>
            </w:r>
            <w:r w:rsidR="00F928D8">
              <w:rPr>
                <w:b/>
                <w:bCs/>
                <w:sz w:val="22"/>
                <w:szCs w:val="22"/>
              </w:rPr>
              <w:t>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4111DD" w:rsidRPr="004111DD" w:rsidRDefault="004111DD" w:rsidP="004111DD">
            <w:pPr>
              <w:jc w:val="center"/>
              <w:rPr>
                <w:rFonts w:cs="Arial"/>
                <w:b/>
                <w:color w:val="FF0000"/>
                <w:sz w:val="24"/>
              </w:rPr>
            </w:pPr>
            <w:r w:rsidRPr="004111DD">
              <w:rPr>
                <w:rFonts w:eastAsiaTheme="majorEastAsia" w:cs="Arial"/>
                <w:b/>
                <w:color w:val="FF0000"/>
                <w:sz w:val="24"/>
              </w:rPr>
              <w:t>SPRÁVCE STAVBY – technický dozor stavebníka</w:t>
            </w:r>
            <w:r w:rsidRPr="004111DD">
              <w:rPr>
                <w:rFonts w:cs="Arial"/>
                <w:b/>
                <w:color w:val="FF0000"/>
                <w:sz w:val="24"/>
              </w:rPr>
              <w:t xml:space="preserve"> a </w:t>
            </w:r>
            <w:r w:rsidRPr="004111DD">
              <w:rPr>
                <w:rFonts w:eastAsiaTheme="majorEastAsia" w:cs="Arial"/>
                <w:b/>
                <w:color w:val="FF0000"/>
                <w:sz w:val="24"/>
              </w:rPr>
              <w:t>koordinátor bezpečnosti a ochrany zdraví při práci na staveništ</w:t>
            </w:r>
            <w:r w:rsidRPr="004111DD">
              <w:rPr>
                <w:rFonts w:cs="Arial"/>
                <w:b/>
                <w:color w:val="FF0000"/>
                <w:sz w:val="24"/>
              </w:rPr>
              <w:t>i pro stavby:</w:t>
            </w:r>
          </w:p>
          <w:p w:rsidR="004111DD" w:rsidRPr="004111DD" w:rsidRDefault="004111DD" w:rsidP="004111DD">
            <w:pPr>
              <w:jc w:val="center"/>
              <w:rPr>
                <w:rFonts w:cs="Arial"/>
                <w:b/>
                <w:color w:val="FF0000"/>
                <w:sz w:val="24"/>
              </w:rPr>
            </w:pPr>
          </w:p>
          <w:p w:rsidR="004111DD" w:rsidRPr="004111DD" w:rsidRDefault="004111DD" w:rsidP="004111DD">
            <w:pPr>
              <w:jc w:val="center"/>
              <w:rPr>
                <w:rFonts w:cs="Arial"/>
                <w:b/>
                <w:color w:val="FF0000"/>
                <w:sz w:val="24"/>
              </w:rPr>
            </w:pPr>
            <w:r w:rsidRPr="004111DD">
              <w:rPr>
                <w:rFonts w:cs="Arial"/>
                <w:b/>
                <w:color w:val="FF0000"/>
                <w:sz w:val="24"/>
              </w:rPr>
              <w:t>CP</w:t>
            </w:r>
            <w:bookmarkStart w:id="0" w:name="_GoBack"/>
            <w:bookmarkEnd w:id="0"/>
            <w:r w:rsidRPr="004111DD">
              <w:rPr>
                <w:rFonts w:cs="Arial"/>
                <w:b/>
                <w:color w:val="FF0000"/>
                <w:sz w:val="24"/>
              </w:rPr>
              <w:t>A Delfín – energetické centrum s KGJ</w:t>
            </w:r>
          </w:p>
          <w:p w:rsidR="004111DD" w:rsidRPr="004111DD" w:rsidRDefault="004111DD" w:rsidP="004111DD">
            <w:pPr>
              <w:jc w:val="center"/>
              <w:rPr>
                <w:rFonts w:cs="Arial"/>
                <w:b/>
                <w:caps/>
                <w:color w:val="FF0000"/>
                <w:sz w:val="28"/>
                <w:szCs w:val="52"/>
              </w:rPr>
            </w:pPr>
          </w:p>
          <w:p w:rsidR="00171691" w:rsidRPr="0025072A" w:rsidRDefault="004111DD" w:rsidP="004111DD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111DD">
              <w:rPr>
                <w:rFonts w:ascii="Arial" w:hAnsi="Arial" w:cs="Arial"/>
                <w:color w:val="FF0000"/>
                <w:sz w:val="24"/>
              </w:rPr>
              <w:t>CPA Delfín – venkovní bazény a CPA Delfín – patrové parkoviště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442B4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B31E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B31E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2B4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675D7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11DD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319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991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11</cp:revision>
  <cp:lastPrinted>2021-01-28T06:59:00Z</cp:lastPrinted>
  <dcterms:created xsi:type="dcterms:W3CDTF">2019-09-19T08:40:00Z</dcterms:created>
  <dcterms:modified xsi:type="dcterms:W3CDTF">2021-01-28T06:59:00Z</dcterms:modified>
</cp:coreProperties>
</file>