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C177B9" w:rsidRPr="00C177B9">
        <w:rPr>
          <w:rFonts w:ascii="Arial" w:hAnsi="Arial" w:cs="Arial"/>
          <w:b/>
          <w:bCs/>
          <w:sz w:val="20"/>
          <w:szCs w:val="20"/>
        </w:rPr>
        <w:t>Oprava části komunikace v místě točny ul. Vinohrady ve Znojmě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C177B9" w:rsidRPr="00C177B9">
        <w:rPr>
          <w:rFonts w:ascii="Arial" w:hAnsi="Arial" w:cs="Arial"/>
          <w:b/>
          <w:bCs/>
          <w:sz w:val="20"/>
          <w:szCs w:val="20"/>
        </w:rPr>
        <w:t>Oprava části komunikace v místě točny ul. Vinohrady ve Znojmě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C177B9" w:rsidRPr="00C177B9">
        <w:rPr>
          <w:rFonts w:ascii="Arial" w:hAnsi="Arial" w:cs="Arial"/>
          <w:b/>
          <w:bCs/>
          <w:sz w:val="20"/>
          <w:szCs w:val="20"/>
        </w:rPr>
        <w:t>Oprava části komunikace v místě točny ul. Vinohrady ve Znojmě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BF626F">
        <w:rPr>
          <w:rFonts w:ascii="Arial" w:hAnsi="Arial" w:cs="Arial"/>
          <w:b/>
          <w:sz w:val="20"/>
          <w:szCs w:val="20"/>
        </w:rPr>
        <w:t>4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p w:rsidR="00C6147E" w:rsidRPr="006D76A2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>Místem plnění díla je ulice Vinohrady, Znojmo.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lastRenderedPageBreak/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  <w:bookmarkStart w:id="0" w:name="_GoBack"/>
      <w:bookmarkEnd w:id="0"/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</w:p>
    <w:p w:rsidR="00E37098" w:rsidRDefault="006C20E7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2 - Harmonogram</w:t>
      </w:r>
      <w:r w:rsidR="00D96352">
        <w:rPr>
          <w:rFonts w:ascii="Arial" w:hAnsi="Arial" w:cs="Arial"/>
          <w:sz w:val="20"/>
          <w:szCs w:val="20"/>
        </w:rPr>
        <w:br/>
      </w: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D6" w:rsidRDefault="005422D6">
      <w:r>
        <w:separator/>
      </w:r>
    </w:p>
  </w:endnote>
  <w:endnote w:type="continuationSeparator" w:id="0">
    <w:p w:rsidR="005422D6" w:rsidRDefault="0054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D570E6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D570E6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D6" w:rsidRDefault="005422D6">
      <w:r>
        <w:separator/>
      </w:r>
    </w:p>
  </w:footnote>
  <w:footnote w:type="continuationSeparator" w:id="0">
    <w:p w:rsidR="005422D6" w:rsidRDefault="0054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B96F-EA59-4C3A-BA1A-1C204310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4787</Words>
  <Characters>28247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9</cp:revision>
  <cp:lastPrinted>2018-02-20T14:05:00Z</cp:lastPrinted>
  <dcterms:created xsi:type="dcterms:W3CDTF">2020-07-15T11:44:00Z</dcterms:created>
  <dcterms:modified xsi:type="dcterms:W3CDTF">2021-02-19T12:05:00Z</dcterms:modified>
</cp:coreProperties>
</file>