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531FBB3A"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D02502">
        <w:rPr>
          <w:rFonts w:asciiTheme="minorHAnsi" w:hAnsiTheme="minorHAnsi" w:cstheme="minorHAnsi"/>
          <w:b/>
        </w:rPr>
        <w:t>„</w:t>
      </w:r>
      <w:r w:rsidR="00217300" w:rsidRPr="00217300">
        <w:rPr>
          <w:rFonts w:asciiTheme="minorHAnsi" w:hAnsiTheme="minorHAnsi" w:cstheme="minorHAnsi"/>
          <w:b/>
          <w:szCs w:val="22"/>
        </w:rPr>
        <w:t>Rekonstrukce trakční měnírny Sad B. Němcové XXVI</w:t>
      </w:r>
      <w:r w:rsidR="00217300">
        <w:rPr>
          <w:rFonts w:asciiTheme="minorHAnsi" w:hAnsiTheme="minorHAnsi" w:cstheme="minorHAnsi"/>
          <w:b/>
          <w:szCs w:val="22"/>
        </w:rPr>
        <w:t>“</w:t>
      </w:r>
      <w:bookmarkStart w:id="0" w:name="_GoBack"/>
      <w:bookmarkEnd w:id="0"/>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proofErr w:type="gramStart"/>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w:t>
      </w:r>
      <w:proofErr w:type="gramEnd"/>
      <w:r w:rsidRPr="00D02502">
        <w:rPr>
          <w:rFonts w:asciiTheme="minorHAnsi" w:hAnsiTheme="minorHAnsi" w:cstheme="minorHAnsi"/>
        </w:rPr>
        <w:t xml:space="preserv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9"/>
      <w:footerReference w:type="default" r:id="rId10"/>
      <w:headerReference w:type="first" r:id="rId11"/>
      <w:footerReference w:type="first" r:id="rId12"/>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13FA3" w14:textId="47AB25F7" w:rsidR="009A6B24" w:rsidRDefault="00217300"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8B538C">
              <w:rPr>
                <w:b/>
              </w:rPr>
              <w:t>„</w:t>
            </w:r>
            <w:r w:rsidRPr="00217300">
              <w:rPr>
                <w:b/>
                <w:bCs/>
                <w:szCs w:val="22"/>
              </w:rPr>
              <w:t>Rekonstrukce trakční měnírny Sad B. Němcové XXVI</w:t>
            </w:r>
            <w:r w:rsidR="008B538C">
              <w:rPr>
                <w:b/>
              </w:rPr>
              <w:t>“</w:t>
            </w:r>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FAD9F" w14:textId="35980A01" w:rsidR="009A6B24" w:rsidRDefault="00217300"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w:t>
            </w:r>
            <w:r w:rsidRPr="00217300">
              <w:rPr>
                <w:b/>
                <w:bCs/>
                <w:szCs w:val="22"/>
              </w:rPr>
              <w:t>Rekonstrukce trakční měnírny Sad B. Němcové XXVI</w:t>
            </w:r>
            <w:r w:rsidR="00396176">
              <w:rPr>
                <w:b/>
              </w:rPr>
              <w:t>“</w:t>
            </w:r>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F94A"/>
    <w:lvl w:ilvl="0">
      <w:start w:val="1"/>
      <w:numFmt w:val="decimal"/>
      <w:lvlText w:val="%1."/>
      <w:lvlJc w:val="left"/>
      <w:pPr>
        <w:tabs>
          <w:tab w:val="num" w:pos="1492"/>
        </w:tabs>
        <w:ind w:left="1492" w:hanging="360"/>
      </w:pPr>
    </w:lvl>
  </w:abstractNum>
  <w:abstractNum w:abstractNumId="1">
    <w:nsid w:val="FFFFFF7D"/>
    <w:multiLevelType w:val="singleLevel"/>
    <w:tmpl w:val="1248C5FC"/>
    <w:lvl w:ilvl="0">
      <w:start w:val="1"/>
      <w:numFmt w:val="decimal"/>
      <w:lvlText w:val="%1."/>
      <w:lvlJc w:val="left"/>
      <w:pPr>
        <w:tabs>
          <w:tab w:val="num" w:pos="1209"/>
        </w:tabs>
        <w:ind w:left="1209" w:hanging="360"/>
      </w:pPr>
    </w:lvl>
  </w:abstractNum>
  <w:abstractNum w:abstractNumId="2">
    <w:nsid w:val="FFFFFF7E"/>
    <w:multiLevelType w:val="singleLevel"/>
    <w:tmpl w:val="8E34D9B2"/>
    <w:lvl w:ilvl="0">
      <w:start w:val="1"/>
      <w:numFmt w:val="decimal"/>
      <w:lvlText w:val="%1."/>
      <w:lvlJc w:val="left"/>
      <w:pPr>
        <w:tabs>
          <w:tab w:val="num" w:pos="926"/>
        </w:tabs>
        <w:ind w:left="926" w:hanging="360"/>
      </w:pPr>
    </w:lvl>
  </w:abstractNum>
  <w:abstractNum w:abstractNumId="3">
    <w:nsid w:val="FFFFFF7F"/>
    <w:multiLevelType w:val="singleLevel"/>
    <w:tmpl w:val="1884F23C"/>
    <w:lvl w:ilvl="0">
      <w:start w:val="1"/>
      <w:numFmt w:val="decimal"/>
      <w:lvlText w:val="%1."/>
      <w:lvlJc w:val="left"/>
      <w:pPr>
        <w:tabs>
          <w:tab w:val="num" w:pos="643"/>
        </w:tabs>
        <w:ind w:left="643" w:hanging="360"/>
      </w:pPr>
    </w:lvl>
  </w:abstractNum>
  <w:abstractNum w:abstractNumId="4">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17300"/>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3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C242-2F4C-47C5-89E7-4424234A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4800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7</cp:revision>
  <cp:lastPrinted>2015-04-20T05:50:00Z</cp:lastPrinted>
  <dcterms:created xsi:type="dcterms:W3CDTF">2020-11-09T15:55:00Z</dcterms:created>
  <dcterms:modified xsi:type="dcterms:W3CDTF">2021-01-29T09:09:00Z</dcterms:modified>
</cp:coreProperties>
</file>