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5F6" w:rsidRDefault="004755F6" w:rsidP="00C97A39">
      <w:pPr>
        <w:spacing w:line="240" w:lineRule="auto"/>
        <w:rPr>
          <w:rFonts w:ascii="Arial Black" w:hAnsi="Arial Black"/>
          <w:b/>
          <w:sz w:val="24"/>
          <w:szCs w:val="24"/>
        </w:rPr>
      </w:pPr>
      <w:r w:rsidRPr="00810750">
        <w:rPr>
          <w:rFonts w:ascii="Arial Black" w:hAnsi="Arial Black"/>
          <w:b/>
          <w:sz w:val="24"/>
          <w:szCs w:val="24"/>
        </w:rPr>
        <w:t xml:space="preserve">Příloha č. </w:t>
      </w:r>
      <w:r>
        <w:rPr>
          <w:rFonts w:ascii="Arial Black" w:hAnsi="Arial Black"/>
          <w:b/>
          <w:sz w:val="24"/>
          <w:szCs w:val="24"/>
        </w:rPr>
        <w:t>1</w:t>
      </w:r>
      <w:r w:rsidRPr="00810750">
        <w:rPr>
          <w:rFonts w:ascii="Arial Black" w:hAnsi="Arial Black"/>
          <w:b/>
          <w:sz w:val="24"/>
          <w:szCs w:val="24"/>
        </w:rPr>
        <w:t xml:space="preserve"> Návrhu </w:t>
      </w:r>
      <w:r>
        <w:rPr>
          <w:rFonts w:ascii="Arial Black" w:hAnsi="Arial Black"/>
          <w:b/>
          <w:sz w:val="24"/>
          <w:szCs w:val="24"/>
        </w:rPr>
        <w:t xml:space="preserve">Servisní smlouvy </w:t>
      </w:r>
    </w:p>
    <w:p w:rsidR="004755F6" w:rsidRDefault="004755F6" w:rsidP="00C97A39">
      <w:pPr>
        <w:spacing w:line="240" w:lineRule="auto"/>
        <w:rPr>
          <w:rFonts w:ascii="Arial Black" w:hAnsi="Arial Black"/>
          <w:b/>
          <w:sz w:val="24"/>
          <w:szCs w:val="24"/>
        </w:rPr>
      </w:pPr>
    </w:p>
    <w:p w:rsidR="004755F6" w:rsidRPr="00810750" w:rsidRDefault="004755F6" w:rsidP="00C97A39">
      <w:pPr>
        <w:spacing w:line="240" w:lineRule="auto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Nutný obsah jednotlivých oznámení a postupu jejich zpracování</w:t>
      </w:r>
    </w:p>
    <w:p w:rsidR="004755F6" w:rsidRDefault="004755F6" w:rsidP="004755F6">
      <w:pPr>
        <w:numPr>
          <w:ilvl w:val="0"/>
          <w:numId w:val="1"/>
        </w:numPr>
        <w:spacing w:before="300" w:after="240"/>
        <w:jc w:val="both"/>
      </w:pPr>
      <w:r>
        <w:t>Oznámení o události musí obsahovat:</w:t>
      </w:r>
      <w:bookmarkStart w:id="0" w:name="_GoBack"/>
      <w:bookmarkEnd w:id="0"/>
    </w:p>
    <w:p w:rsidR="004755F6" w:rsidRDefault="004755F6" w:rsidP="004755F6">
      <w:pPr>
        <w:numPr>
          <w:ilvl w:val="1"/>
          <w:numId w:val="1"/>
        </w:numPr>
        <w:jc w:val="both"/>
      </w:pPr>
      <w:r>
        <w:t>definice kategorie události</w:t>
      </w:r>
    </w:p>
    <w:p w:rsidR="004755F6" w:rsidRDefault="004755F6" w:rsidP="004755F6">
      <w:pPr>
        <w:numPr>
          <w:ilvl w:val="1"/>
          <w:numId w:val="1"/>
        </w:numPr>
        <w:jc w:val="both"/>
      </w:pPr>
      <w:r>
        <w:t>popis události (jako popis události může sloužit i obrázek obrazovky nebo mobilu)</w:t>
      </w:r>
    </w:p>
    <w:p w:rsidR="004755F6" w:rsidRDefault="004755F6" w:rsidP="004755F6">
      <w:pPr>
        <w:numPr>
          <w:ilvl w:val="1"/>
          <w:numId w:val="1"/>
        </w:numPr>
        <w:jc w:val="both"/>
      </w:pPr>
      <w:r>
        <w:t>čas vzniku Oznámení</w:t>
      </w:r>
    </w:p>
    <w:p w:rsidR="004755F6" w:rsidRDefault="004755F6" w:rsidP="004755F6">
      <w:pPr>
        <w:numPr>
          <w:ilvl w:val="1"/>
          <w:numId w:val="1"/>
        </w:numPr>
        <w:jc w:val="both"/>
      </w:pPr>
      <w:r>
        <w:t>Zadavatel (odpovědná osoba) Oznámeni</w:t>
      </w:r>
    </w:p>
    <w:p w:rsidR="004755F6" w:rsidRDefault="004755F6" w:rsidP="004755F6">
      <w:pPr>
        <w:numPr>
          <w:ilvl w:val="0"/>
          <w:numId w:val="1"/>
        </w:numPr>
        <w:spacing w:before="300" w:after="240"/>
        <w:jc w:val="both"/>
      </w:pPr>
      <w:r>
        <w:t xml:space="preserve">Potvrzení přijetí události </w:t>
      </w:r>
    </w:p>
    <w:p w:rsidR="004755F6" w:rsidRDefault="004755F6" w:rsidP="004755F6">
      <w:pPr>
        <w:numPr>
          <w:ilvl w:val="1"/>
          <w:numId w:val="1"/>
        </w:numPr>
        <w:jc w:val="both"/>
      </w:pPr>
      <w:r>
        <w:t xml:space="preserve">generuje se automaticky potvrzením klikem na </w:t>
      </w:r>
      <w:proofErr w:type="spellStart"/>
      <w:r>
        <w:t>url</w:t>
      </w:r>
      <w:proofErr w:type="spellEnd"/>
      <w:r>
        <w:t xml:space="preserve"> adresu v emailu</w:t>
      </w:r>
    </w:p>
    <w:p w:rsidR="004755F6" w:rsidRDefault="004755F6" w:rsidP="004755F6">
      <w:pPr>
        <w:numPr>
          <w:ilvl w:val="1"/>
          <w:numId w:val="1"/>
        </w:numPr>
        <w:jc w:val="both"/>
      </w:pPr>
      <w:r>
        <w:t>čas přijetí Potvrzení</w:t>
      </w:r>
    </w:p>
    <w:p w:rsidR="004755F6" w:rsidRDefault="004755F6" w:rsidP="004755F6">
      <w:pPr>
        <w:numPr>
          <w:ilvl w:val="1"/>
          <w:numId w:val="1"/>
        </w:numPr>
        <w:jc w:val="both"/>
      </w:pPr>
      <w:r>
        <w:t>Řešitel na straně dodavatele</w:t>
      </w:r>
    </w:p>
    <w:p w:rsidR="004755F6" w:rsidRDefault="004755F6" w:rsidP="004755F6">
      <w:pPr>
        <w:numPr>
          <w:ilvl w:val="0"/>
          <w:numId w:val="1"/>
        </w:numPr>
        <w:spacing w:before="300" w:after="240"/>
        <w:jc w:val="both"/>
      </w:pPr>
      <w:r>
        <w:t>Úvodní návrh řešení musí obsahovat:</w:t>
      </w:r>
    </w:p>
    <w:p w:rsidR="004755F6" w:rsidRDefault="004755F6" w:rsidP="004755F6">
      <w:pPr>
        <w:numPr>
          <w:ilvl w:val="1"/>
          <w:numId w:val="1"/>
        </w:numPr>
        <w:jc w:val="both"/>
      </w:pPr>
      <w:r>
        <w:t>popis návrhu jak problém odstranit</w:t>
      </w:r>
    </w:p>
    <w:p w:rsidR="004755F6" w:rsidRDefault="004755F6" w:rsidP="004755F6">
      <w:pPr>
        <w:numPr>
          <w:ilvl w:val="1"/>
          <w:numId w:val="1"/>
        </w:numPr>
        <w:jc w:val="both"/>
      </w:pPr>
      <w:r>
        <w:t xml:space="preserve">časový odhad </w:t>
      </w:r>
    </w:p>
    <w:p w:rsidR="004755F6" w:rsidRDefault="004755F6" w:rsidP="004755F6">
      <w:pPr>
        <w:numPr>
          <w:ilvl w:val="1"/>
          <w:numId w:val="1"/>
        </w:numPr>
        <w:spacing w:after="240"/>
        <w:jc w:val="both"/>
      </w:pPr>
      <w:r>
        <w:t>požadavek na součinnost DPO</w:t>
      </w:r>
    </w:p>
    <w:p w:rsidR="004755F6" w:rsidRDefault="004755F6" w:rsidP="004755F6">
      <w:pPr>
        <w:numPr>
          <w:ilvl w:val="2"/>
          <w:numId w:val="1"/>
        </w:numPr>
        <w:jc w:val="both"/>
      </w:pPr>
      <w:r>
        <w:t xml:space="preserve">v případě, že ano, je potřeba popis, typ součinnosti a definice, </w:t>
      </w:r>
      <w:proofErr w:type="gramStart"/>
      <w:r>
        <w:t>zda-</w:t>
      </w:r>
      <w:proofErr w:type="spellStart"/>
      <w:r>
        <w:t>li</w:t>
      </w:r>
      <w:proofErr w:type="spellEnd"/>
      <w:r>
        <w:t xml:space="preserve"> je</w:t>
      </w:r>
      <w:proofErr w:type="gramEnd"/>
      <w:r>
        <w:t xml:space="preserve"> součinnost nutná k odstranění události</w:t>
      </w:r>
    </w:p>
    <w:p w:rsidR="004755F6" w:rsidRDefault="004755F6" w:rsidP="004755F6">
      <w:pPr>
        <w:numPr>
          <w:ilvl w:val="2"/>
          <w:numId w:val="1"/>
        </w:numPr>
        <w:jc w:val="both"/>
      </w:pPr>
      <w:r>
        <w:t>v případě, že není, uvést Bez součinnosti DPO</w:t>
      </w:r>
    </w:p>
    <w:p w:rsidR="004755F6" w:rsidRDefault="004755F6" w:rsidP="004755F6">
      <w:pPr>
        <w:numPr>
          <w:ilvl w:val="2"/>
          <w:numId w:val="1"/>
        </w:numPr>
        <w:spacing w:after="240"/>
        <w:jc w:val="both"/>
      </w:pPr>
      <w:r>
        <w:t>v případě, že k odstranění událost vedou pouze překážky na straně objednatele uvést návrh řešení</w:t>
      </w:r>
    </w:p>
    <w:p w:rsidR="004755F6" w:rsidRDefault="004755F6" w:rsidP="004755F6">
      <w:pPr>
        <w:numPr>
          <w:ilvl w:val="1"/>
          <w:numId w:val="1"/>
        </w:numPr>
        <w:jc w:val="both"/>
      </w:pPr>
      <w:r>
        <w:t>je nutné oboustranné odsouhlasení návrhu řešení</w:t>
      </w:r>
    </w:p>
    <w:p w:rsidR="004755F6" w:rsidRDefault="004755F6" w:rsidP="004755F6">
      <w:pPr>
        <w:numPr>
          <w:ilvl w:val="0"/>
          <w:numId w:val="1"/>
        </w:numPr>
        <w:spacing w:before="300" w:after="240"/>
        <w:jc w:val="both"/>
      </w:pPr>
      <w:r>
        <w:t>Součinnost při odstranění překážek</w:t>
      </w:r>
    </w:p>
    <w:p w:rsidR="004755F6" w:rsidRDefault="004755F6" w:rsidP="004755F6">
      <w:pPr>
        <w:numPr>
          <w:ilvl w:val="1"/>
          <w:numId w:val="1"/>
        </w:numPr>
        <w:spacing w:after="240"/>
        <w:jc w:val="both"/>
      </w:pPr>
      <w:r>
        <w:t>V případě, že dodavatel uvedl, že potřebuje součinnost zadavatele</w:t>
      </w:r>
    </w:p>
    <w:p w:rsidR="004755F6" w:rsidRDefault="004755F6" w:rsidP="004755F6">
      <w:pPr>
        <w:numPr>
          <w:ilvl w:val="2"/>
          <w:numId w:val="1"/>
        </w:numPr>
        <w:jc w:val="both"/>
      </w:pPr>
      <w:r>
        <w:t>v případě, že ano, se doba řešení prodlužuje o dobu nutnou k odstranění překážek na straně objednavatele</w:t>
      </w:r>
    </w:p>
    <w:p w:rsidR="004755F6" w:rsidRDefault="004755F6" w:rsidP="004755F6">
      <w:pPr>
        <w:numPr>
          <w:ilvl w:val="2"/>
          <w:numId w:val="1"/>
        </w:numPr>
        <w:jc w:val="both"/>
      </w:pPr>
      <w:r>
        <w:t>po odstranění překážek je objednavatel povinen informovat o tomto dodavatele standardním kanálem</w:t>
      </w:r>
    </w:p>
    <w:p w:rsidR="004755F6" w:rsidRDefault="004755F6" w:rsidP="004755F6">
      <w:pPr>
        <w:numPr>
          <w:ilvl w:val="2"/>
          <w:numId w:val="1"/>
        </w:numPr>
        <w:jc w:val="both"/>
      </w:pPr>
      <w:r>
        <w:t>čas, o který se Doba řešení prodlužuje je definován jako rozdíl mezi dobou přijetí “Úvodního návrhu řešení” a dobou odeslání Informace o odstranění překážek. Tento rozdíl pak bude připočten</w:t>
      </w:r>
    </w:p>
    <w:p w:rsidR="004755F6" w:rsidRDefault="004755F6" w:rsidP="004755F6">
      <w:pPr>
        <w:numPr>
          <w:ilvl w:val="0"/>
          <w:numId w:val="1"/>
        </w:numPr>
        <w:spacing w:before="300" w:after="240"/>
        <w:jc w:val="both"/>
      </w:pPr>
      <w:r>
        <w:t>Překážky pouze na straně objednatele</w:t>
      </w:r>
    </w:p>
    <w:p w:rsidR="004755F6" w:rsidRDefault="004755F6" w:rsidP="004755F6">
      <w:pPr>
        <w:numPr>
          <w:ilvl w:val="1"/>
          <w:numId w:val="1"/>
        </w:numPr>
        <w:jc w:val="both"/>
      </w:pPr>
      <w:r>
        <w:t>úpravy v návazných systémech, změny IP adres atd. atd.</w:t>
      </w:r>
    </w:p>
    <w:p w:rsidR="004755F6" w:rsidRDefault="004755F6" w:rsidP="004755F6">
      <w:pPr>
        <w:numPr>
          <w:ilvl w:val="1"/>
          <w:numId w:val="1"/>
        </w:numPr>
        <w:jc w:val="both"/>
      </w:pPr>
      <w:r>
        <w:t>dodavatel má nárok na uhrazení 1 hodiny</w:t>
      </w:r>
    </w:p>
    <w:p w:rsidR="004755F6" w:rsidRDefault="004755F6" w:rsidP="00C97A39">
      <w:pPr>
        <w:spacing w:after="300"/>
        <w:rPr>
          <w:b/>
        </w:rPr>
      </w:pPr>
    </w:p>
    <w:p w:rsidR="004755F6" w:rsidRDefault="004755F6" w:rsidP="004755F6">
      <w:pPr>
        <w:spacing w:after="300"/>
        <w:jc w:val="center"/>
        <w:rPr>
          <w:b/>
        </w:rPr>
      </w:pPr>
      <w:r>
        <w:rPr>
          <w:b/>
        </w:rPr>
        <w:lastRenderedPageBreak/>
        <w:t>Akceptace plnění</w:t>
      </w:r>
    </w:p>
    <w:p w:rsidR="004755F6" w:rsidRPr="00CC5AD9" w:rsidRDefault="004755F6" w:rsidP="004755F6">
      <w:pPr>
        <w:pStyle w:val="Odstavecseseznamem"/>
        <w:numPr>
          <w:ilvl w:val="0"/>
          <w:numId w:val="2"/>
        </w:numPr>
        <w:spacing w:after="300"/>
        <w:jc w:val="left"/>
        <w:rPr>
          <w:b/>
        </w:rPr>
      </w:pPr>
      <w:r>
        <w:t xml:space="preserve">Hodnocení, kontrola plnění a akceptace servisních služeb bude probíhat vždy 1x měsíčně za </w:t>
      </w:r>
      <w:proofErr w:type="gramStart"/>
      <w:r>
        <w:t>všechny  vyřešené</w:t>
      </w:r>
      <w:proofErr w:type="gramEnd"/>
      <w:r>
        <w:t xml:space="preserve"> Oznámení událostí za předcházející měsíc.</w:t>
      </w:r>
    </w:p>
    <w:p w:rsidR="004755F6" w:rsidRPr="00CC5AD9" w:rsidRDefault="004755F6" w:rsidP="004755F6">
      <w:pPr>
        <w:numPr>
          <w:ilvl w:val="1"/>
          <w:numId w:val="3"/>
        </w:numPr>
        <w:spacing w:before="200"/>
        <w:jc w:val="both"/>
        <w:rPr>
          <w:b/>
        </w:rPr>
      </w:pPr>
      <w:r>
        <w:t>Hodnocení, kontrolu plnění a akceptaci servisních služeb/servisní podpory v rozsahu Oznámení události provádějí oprávněné osoby smluvních stran,</w:t>
      </w:r>
    </w:p>
    <w:p w:rsidR="004755F6" w:rsidRPr="00CC5AD9" w:rsidRDefault="004755F6" w:rsidP="004755F6">
      <w:pPr>
        <w:numPr>
          <w:ilvl w:val="1"/>
          <w:numId w:val="3"/>
        </w:numPr>
        <w:spacing w:before="200"/>
        <w:jc w:val="both"/>
        <w:rPr>
          <w:b/>
        </w:rPr>
      </w:pPr>
      <w:r>
        <w:t xml:space="preserve">Akceptaci plnění servisních služeb/servisní podpory v rozsahu Oznámení události na základě Výkazu předloženého k akceptaci objednatelem bude provádět oprávněná osoba objednatele, </w:t>
      </w:r>
    </w:p>
    <w:p w:rsidR="004755F6" w:rsidRDefault="004755F6" w:rsidP="004755F6">
      <w:pPr>
        <w:numPr>
          <w:ilvl w:val="1"/>
          <w:numId w:val="3"/>
        </w:numPr>
        <w:spacing w:before="200" w:after="240"/>
        <w:jc w:val="both"/>
        <w:rPr>
          <w:b/>
        </w:rPr>
      </w:pPr>
      <w:r>
        <w:t xml:space="preserve">Oprávněná osoba zhotovitele se zavazuje předložit oprávněné osobě objednatele prostřednictvím e-mailu nebo elektronicky přes webové rozhraní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desk</w:t>
      </w:r>
      <w:proofErr w:type="spellEnd"/>
      <w:r>
        <w:t xml:space="preserve"> systému ALVAO ke schválení Výkaz vždy do 3. pracovního dne následujícího měsíce po ukončení vyřešení všech Oznámení událostí, v rámci kterého byly servisní služby/servisní podpora poskytovány v předchozím měsíci.</w:t>
      </w:r>
    </w:p>
    <w:p w:rsidR="004755F6" w:rsidRPr="00E54715" w:rsidRDefault="004755F6" w:rsidP="004755F6">
      <w:pPr>
        <w:numPr>
          <w:ilvl w:val="1"/>
          <w:numId w:val="3"/>
        </w:numPr>
        <w:spacing w:before="200" w:after="240"/>
        <w:jc w:val="both"/>
        <w:rPr>
          <w:b/>
        </w:rPr>
      </w:pPr>
      <w:r>
        <w:t xml:space="preserve">Objednatel se zavazuje Výkaz neprodleně svým podpisem schválit, případně do něj uvést veškeré výhrady. </w:t>
      </w:r>
    </w:p>
    <w:p w:rsidR="004755F6" w:rsidRPr="00E54715" w:rsidRDefault="004755F6" w:rsidP="004755F6">
      <w:pPr>
        <w:numPr>
          <w:ilvl w:val="1"/>
          <w:numId w:val="3"/>
        </w:numPr>
        <w:spacing w:before="200" w:after="240"/>
        <w:jc w:val="both"/>
        <w:rPr>
          <w:b/>
        </w:rPr>
      </w:pPr>
      <w:r>
        <w:t xml:space="preserve">Zhotovitel se zavazuje vypořádat případné výhrady nejpozději do 2 dnů, nebude-li dohodnuto jinak, od podpisu Výkazu objednatelem a výsledek sdělit písemně prostřednictvím e-mailu nebo elektronicky přes webové rozhraní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desk</w:t>
      </w:r>
      <w:proofErr w:type="spellEnd"/>
      <w:r>
        <w:t xml:space="preserve"> systému ALVAO.</w:t>
      </w:r>
    </w:p>
    <w:p w:rsidR="004755F6" w:rsidRDefault="004755F6"/>
    <w:sectPr w:rsidR="004755F6" w:rsidSect="00C97A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5F6" w:rsidRDefault="004755F6" w:rsidP="004755F6">
      <w:pPr>
        <w:spacing w:line="240" w:lineRule="auto"/>
      </w:pPr>
      <w:r>
        <w:separator/>
      </w:r>
    </w:p>
  </w:endnote>
  <w:endnote w:type="continuationSeparator" w:id="0">
    <w:p w:rsidR="004755F6" w:rsidRDefault="004755F6" w:rsidP="004755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5F6" w:rsidRDefault="004755F6" w:rsidP="004755F6">
      <w:pPr>
        <w:spacing w:line="240" w:lineRule="auto"/>
      </w:pPr>
      <w:r>
        <w:separator/>
      </w:r>
    </w:p>
  </w:footnote>
  <w:footnote w:type="continuationSeparator" w:id="0">
    <w:p w:rsidR="004755F6" w:rsidRDefault="004755F6" w:rsidP="004755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A39" w:rsidRPr="004755F6" w:rsidRDefault="00DC50DD" w:rsidP="00C97A39">
    <w:pPr>
      <w:pStyle w:val="Zhlav"/>
      <w:rPr>
        <w:rFonts w:ascii="Times New Roman" w:hAnsi="Times New Roman" w:cs="Times New Roman"/>
        <w:i/>
        <w:lang w:val="cs-CZ"/>
      </w:rPr>
    </w:pPr>
    <w:r>
      <w:rPr>
        <w:rFonts w:ascii="Times New Roman" w:hAnsi="Times New Roman" w:cs="Times New Roman"/>
        <w:i/>
        <w:lang w:val="cs-CZ"/>
      </w:rPr>
      <w:t>Příloha č. 4</w:t>
    </w:r>
    <w:r w:rsidR="00C97A39" w:rsidRPr="004755F6">
      <w:rPr>
        <w:rFonts w:ascii="Times New Roman" w:hAnsi="Times New Roman" w:cs="Times New Roman"/>
        <w:i/>
        <w:lang w:val="cs-CZ"/>
      </w:rPr>
      <w:t xml:space="preserve"> Zadávací dokumentace – Nutný obsah jednotlivých oznámení a postupu jejich řešení</w:t>
    </w:r>
  </w:p>
  <w:p w:rsidR="004755F6" w:rsidRPr="004755F6" w:rsidRDefault="004755F6">
    <w:pPr>
      <w:pStyle w:val="Zhlav"/>
      <w:rPr>
        <w:rFonts w:ascii="Times New Roman" w:hAnsi="Times New Roman" w:cs="Times New Roman"/>
        <w:i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25D6B"/>
    <w:multiLevelType w:val="multilevel"/>
    <w:tmpl w:val="49EC46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6953C2"/>
    <w:multiLevelType w:val="multilevel"/>
    <w:tmpl w:val="67161F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15769BC"/>
    <w:multiLevelType w:val="hybridMultilevel"/>
    <w:tmpl w:val="DC9AC49E"/>
    <w:lvl w:ilvl="0" w:tplc="978A18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5F6"/>
    <w:rsid w:val="00064D60"/>
    <w:rsid w:val="004755F6"/>
    <w:rsid w:val="00C97A39"/>
    <w:rsid w:val="00DC50DD"/>
    <w:rsid w:val="00E5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757968"/>
  <w15:chartTrackingRefBased/>
  <w15:docId w15:val="{35393E0D-759F-4FCF-B8A3-EE63D374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755F6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55F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55F6"/>
    <w:rPr>
      <w:rFonts w:ascii="Arial" w:eastAsia="Arial" w:hAnsi="Arial" w:cs="Arial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4755F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55F6"/>
    <w:rPr>
      <w:rFonts w:ascii="Arial" w:eastAsia="Arial" w:hAnsi="Arial" w:cs="Arial"/>
      <w:lang w:val="cs"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4755F6"/>
    <w:pPr>
      <w:spacing w:before="300"/>
      <w:ind w:left="720"/>
      <w:contextualSpacing/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4755F6"/>
    <w:rPr>
      <w:rFonts w:ascii="Arial" w:eastAsia="Arial" w:hAnsi="Arial" w:cs="Arial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Kubátková Hana, Ing.</dc:creator>
  <cp:keywords/>
  <dc:description/>
  <cp:lastModifiedBy>Kubátková Hana, Ing.</cp:lastModifiedBy>
  <cp:revision>4</cp:revision>
  <dcterms:created xsi:type="dcterms:W3CDTF">2021-02-03T11:27:00Z</dcterms:created>
  <dcterms:modified xsi:type="dcterms:W3CDTF">2021-02-18T10:07:00Z</dcterms:modified>
</cp:coreProperties>
</file>