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F1E3" w14:textId="77777777" w:rsidR="00C1557C" w:rsidRPr="00076607" w:rsidRDefault="00C1557C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0524AB6" w14:textId="4146125D" w:rsidR="00EA6463" w:rsidRPr="00076607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076607">
        <w:rPr>
          <w:b/>
          <w:sz w:val="22"/>
          <w:szCs w:val="22"/>
        </w:rPr>
        <w:t xml:space="preserve">Příloha č. </w:t>
      </w:r>
      <w:r w:rsidR="00D210BE">
        <w:rPr>
          <w:b/>
          <w:sz w:val="22"/>
          <w:szCs w:val="22"/>
        </w:rPr>
        <w:t>1</w:t>
      </w:r>
      <w:r w:rsidRPr="00076607">
        <w:rPr>
          <w:b/>
          <w:sz w:val="22"/>
          <w:szCs w:val="22"/>
        </w:rPr>
        <w:t xml:space="preserve"> – Technická specifikace</w:t>
      </w:r>
    </w:p>
    <w:p w14:paraId="3008F944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76954DE4" w14:textId="77777777" w:rsidR="00451DE6" w:rsidRDefault="00EA6463" w:rsidP="00EA6463">
      <w:pPr>
        <w:spacing w:after="0"/>
        <w:ind w:left="0"/>
        <w:rPr>
          <w:rFonts w:ascii="Times New Roman" w:hAnsi="Times New Roman"/>
          <w:b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451DE6" w:rsidRPr="00451DE6">
        <w:rPr>
          <w:rFonts w:ascii="Times New Roman" w:hAnsi="Times New Roman"/>
        </w:rPr>
        <w:t>Pořízení otočného sloupového jeřábu</w:t>
      </w:r>
    </w:p>
    <w:p w14:paraId="7A3BFBEB" w14:textId="762A199D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objednatele: </w:t>
      </w:r>
      <w:r w:rsidR="00CC5913" w:rsidRPr="00CC5913">
        <w:rPr>
          <w:rFonts w:ascii="Times New Roman" w:eastAsia="Times New Roman" w:hAnsi="Times New Roman"/>
          <w:bCs/>
          <w:szCs w:val="20"/>
          <w:lang w:eastAsia="cs-CZ"/>
        </w:rPr>
        <w:t>DOD20</w:t>
      </w:r>
      <w:r w:rsidR="00A65507">
        <w:rPr>
          <w:rFonts w:ascii="Times New Roman" w:eastAsia="Times New Roman" w:hAnsi="Times New Roman"/>
          <w:bCs/>
          <w:szCs w:val="20"/>
          <w:lang w:eastAsia="cs-CZ"/>
        </w:rPr>
        <w:t>20</w:t>
      </w:r>
      <w:r w:rsidR="0016757A">
        <w:rPr>
          <w:rFonts w:ascii="Times New Roman" w:eastAsia="Times New Roman" w:hAnsi="Times New Roman"/>
          <w:bCs/>
          <w:szCs w:val="20"/>
          <w:lang w:eastAsia="cs-CZ"/>
        </w:rPr>
        <w:t>2614</w:t>
      </w:r>
    </w:p>
    <w:p w14:paraId="6A3C55DD" w14:textId="77777777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EF04DC" w:rsidRPr="00076607">
        <w:rPr>
          <w:rFonts w:ascii="Times New Roman" w:eastAsia="Times New Roman" w:hAnsi="Times New Roman"/>
          <w:bCs/>
          <w:szCs w:val="20"/>
          <w:lang w:eastAsia="cs-CZ"/>
        </w:rPr>
        <w:t>zhotovitele</w:t>
      </w:r>
      <w:r w:rsidRPr="00076607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27B6E3EA" w14:textId="77777777" w:rsidR="00BF6FDF" w:rsidRPr="00076607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2E525FAD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076607">
        <w:rPr>
          <w:rFonts w:ascii="Times New Roman" w:hAnsi="Times New Roman"/>
          <w:b/>
          <w:szCs w:val="20"/>
        </w:rPr>
        <w:t>Výrobce:</w:t>
      </w:r>
      <w:r w:rsidR="00831D4E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292D3742" w14:textId="77777777" w:rsidR="00BF6FDF" w:rsidRPr="00076607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 xml:space="preserve">Typ, označení: </w:t>
      </w:r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6AD966C" w14:textId="77777777" w:rsidR="00EA6463" w:rsidRPr="00076607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>Rok výroby:</w:t>
      </w:r>
      <w:r w:rsidRPr="00076607">
        <w:rPr>
          <w:rFonts w:ascii="Times New Roman" w:hAnsi="Times New Roman"/>
          <w:b/>
          <w:color w:val="8DB3E2" w:themeColor="text2" w:themeTint="66"/>
          <w:szCs w:val="20"/>
        </w:rPr>
        <w:t xml:space="preserve"> (</w:t>
      </w:r>
      <w:proofErr w:type="spellStart"/>
      <w:r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0C7096F6" w14:textId="77777777" w:rsidR="00BF6FDF" w:rsidRPr="00076607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565C1A28" w14:textId="7DD3C48F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Komentář: u číselných údaj</w:t>
      </w:r>
      <w:r w:rsidR="007A2C06">
        <w:rPr>
          <w:rFonts w:ascii="Times New Roman" w:hAnsi="Times New Roman"/>
          <w:i/>
          <w:szCs w:val="20"/>
        </w:rPr>
        <w:t>7</w:t>
      </w:r>
      <w:r w:rsidRPr="004043DB">
        <w:rPr>
          <w:rFonts w:ascii="Times New Roman" w:hAnsi="Times New Roman"/>
          <w:i/>
          <w:szCs w:val="20"/>
        </w:rPr>
        <w:t xml:space="preserve">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splňuje/nesplňuje.</w:t>
      </w:r>
    </w:p>
    <w:p w14:paraId="2664529D" w14:textId="77777777" w:rsidR="003770BD" w:rsidRPr="004043DB" w:rsidRDefault="003770BD" w:rsidP="003770BD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71C221F4" w14:textId="77777777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  <w:bookmarkStart w:id="0" w:name="_GoBack"/>
      <w:bookmarkEnd w:id="0"/>
    </w:p>
    <w:p w14:paraId="3F9D9470" w14:textId="77777777" w:rsidR="003770BD" w:rsidRPr="004043DB" w:rsidRDefault="003770BD" w:rsidP="003770BD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B545DD6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6"/>
        <w:gridCol w:w="1183"/>
        <w:gridCol w:w="1089"/>
      </w:tblGrid>
      <w:tr w:rsidR="00EA6463" w:rsidRPr="00076607" w14:paraId="20FABD1D" w14:textId="77777777" w:rsidTr="00EB2250">
        <w:trPr>
          <w:trHeight w:val="5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A9B8" w14:textId="77777777" w:rsidR="00EA6463" w:rsidRPr="00076607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C8E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5CB8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76607" w14:paraId="487806C7" w14:textId="77777777" w:rsidTr="00EB2250">
        <w:trPr>
          <w:trHeight w:val="41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2D6" w14:textId="0E225325" w:rsidR="00A30369" w:rsidRPr="00076607" w:rsidRDefault="00F77520" w:rsidP="00A65507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Nosnost min. 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6 000 kg – max.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6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5</w:t>
            </w:r>
            <w:r w:rsidR="00AD7B05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00</w:t>
            </w: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kg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A982" w14:textId="77777777" w:rsidR="00A30369" w:rsidRPr="00076607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E467" w14:textId="2E0828C8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*</w:t>
            </w:r>
          </w:p>
        </w:tc>
      </w:tr>
      <w:tr w:rsidR="00A30369" w:rsidRPr="00076607" w14:paraId="115E5952" w14:textId="77777777" w:rsidTr="00EB2250">
        <w:trPr>
          <w:trHeight w:val="4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E573" w14:textId="433E7FEF" w:rsidR="00A30369" w:rsidRPr="00076607" w:rsidRDefault="00F77520" w:rsidP="00DD5CB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Zdvih </w:t>
            </w:r>
            <w:r w:rsidR="007A2C06">
              <w:rPr>
                <w:b w:val="0"/>
              </w:rPr>
              <w:t>max. 7000</w:t>
            </w:r>
            <w:r w:rsidR="00B83223">
              <w:rPr>
                <w:b w:val="0"/>
              </w:rPr>
              <w:t xml:space="preserve"> </w:t>
            </w:r>
            <w:r w:rsidR="007A2C06">
              <w:rPr>
                <w:b w:val="0"/>
              </w:rPr>
              <w:t>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3F7F" w14:textId="77777777" w:rsidR="00A30369" w:rsidRPr="0007660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D95A" w14:textId="5E63407D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484A9C" w:rsidRPr="00076607" w14:paraId="4A2E5C6E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932" w14:textId="0581CD4D" w:rsidR="00484A9C" w:rsidRPr="007A2C06" w:rsidRDefault="00484A9C" w:rsidP="00484A9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Minimální výška háku kladkostroje od země 5 </w:t>
            </w:r>
            <w:r w:rsidR="0008257F">
              <w:rPr>
                <w:b w:val="0"/>
              </w:rPr>
              <w:t>1</w:t>
            </w:r>
            <w:r>
              <w:rPr>
                <w:b w:val="0"/>
              </w:rPr>
              <w:t>00 mm v horní poloze při výšce stropu 6 400 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6612" w14:textId="44FFC326" w:rsidR="00484A9C" w:rsidRPr="00076607" w:rsidRDefault="00484A9C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9163" w14:textId="0401BF82" w:rsidR="00484A9C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17DA5F2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992" w14:textId="7A569A0E" w:rsidR="00A30369" w:rsidRPr="002F0448" w:rsidRDefault="002F0448" w:rsidP="00161CCB">
            <w:pPr>
              <w:pStyle w:val="Nzev"/>
              <w:jc w:val="left"/>
              <w:rPr>
                <w:b w:val="0"/>
              </w:rPr>
            </w:pPr>
            <w:r w:rsidRPr="002F0448">
              <w:rPr>
                <w:b w:val="0"/>
              </w:rPr>
              <w:t>Ustavení sloupového jeřábu</w:t>
            </w:r>
            <w:r w:rsidR="00161CCB">
              <w:rPr>
                <w:b w:val="0"/>
              </w:rPr>
              <w:t xml:space="preserve"> bude </w:t>
            </w:r>
            <w:r w:rsidRPr="002F0448">
              <w:rPr>
                <w:b w:val="0"/>
              </w:rPr>
              <w:t>takové, aby hák jeřábu byl nad vzdálenější stranou tramvaje a zároveň se vešel mezi betonové překlady na stropě tak, aby byla využita maximální výška stropu (6 400 mm)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5B60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5D19" w14:textId="0F48DB16" w:rsidR="00A30369" w:rsidRPr="00076607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A2C06" w:rsidRPr="00076607" w14:paraId="0AA76FDD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7892" w14:textId="301A9194" w:rsidR="007A2C06" w:rsidRPr="007A2C06" w:rsidRDefault="007A2C06" w:rsidP="00484A9C">
            <w:pPr>
              <w:pStyle w:val="Nzev"/>
              <w:jc w:val="left"/>
              <w:rPr>
                <w:b w:val="0"/>
              </w:rPr>
            </w:pPr>
            <w:r w:rsidRPr="007A2C06">
              <w:rPr>
                <w:rFonts w:hint="eastAsia"/>
                <w:b w:val="0"/>
              </w:rPr>
              <w:t>Rozsah otáčení</w:t>
            </w:r>
            <w:r w:rsidR="00A45DF2">
              <w:rPr>
                <w:b w:val="0"/>
              </w:rPr>
              <w:t xml:space="preserve"> </w:t>
            </w:r>
            <w:r w:rsidR="00484A9C">
              <w:rPr>
                <w:b w:val="0"/>
              </w:rPr>
              <w:t>180</w:t>
            </w:r>
            <w:r>
              <w:rPr>
                <w:rFonts w:hint="eastAsia"/>
                <w:b w:val="0"/>
              </w:rPr>
              <w:t>°</w:t>
            </w:r>
            <w:r w:rsidRPr="007A2C06">
              <w:rPr>
                <w:rFonts w:hint="eastAsia"/>
                <w:b w:val="0"/>
              </w:rPr>
              <w:t xml:space="preserve"> (s koncovými spínači a dorazy)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2CF7" w14:textId="1A57A578" w:rsidR="007A2C06" w:rsidRPr="00076607" w:rsidRDefault="007A2C06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4DA" w14:textId="1A15C32E" w:rsidR="007A2C06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45DF2" w:rsidRPr="00076607" w14:paraId="28269D1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AF79" w14:textId="58ADA8E8" w:rsidR="00A45DF2" w:rsidRPr="007A2C06" w:rsidRDefault="00A45DF2" w:rsidP="00E45C87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Otáčení</w:t>
            </w:r>
            <w:r w:rsidRPr="00A45DF2">
              <w:rPr>
                <w:b w:val="0"/>
              </w:rPr>
              <w:t xml:space="preserve"> elektrické</w:t>
            </w:r>
            <w:r>
              <w:rPr>
                <w:b w:val="0"/>
              </w:rPr>
              <w:t xml:space="preserve"> </w:t>
            </w:r>
            <w:r w:rsidR="00E45C87">
              <w:rPr>
                <w:b w:val="0"/>
              </w:rPr>
              <w:t>s plynulou regulací max.</w:t>
            </w:r>
            <w:r w:rsidR="00C13852">
              <w:rPr>
                <w:b w:val="0"/>
              </w:rPr>
              <w:t xml:space="preserve"> 0,</w:t>
            </w:r>
            <w:r w:rsidR="00E45C87">
              <w:rPr>
                <w:b w:val="0"/>
              </w:rPr>
              <w:t>6</w:t>
            </w:r>
            <w:r w:rsidR="00C13852">
              <w:rPr>
                <w:b w:val="0"/>
              </w:rPr>
              <w:t xml:space="preserve"> 1/min</w:t>
            </w:r>
            <w:r w:rsidR="00DD10B7">
              <w:rPr>
                <w:b w:val="0"/>
              </w:rPr>
              <w:t xml:space="preserve"> (pohon</w:t>
            </w:r>
            <w:r w:rsidR="001D513F">
              <w:rPr>
                <w:b w:val="0"/>
              </w:rPr>
              <w:t xml:space="preserve"> řízený</w:t>
            </w:r>
            <w:r w:rsidR="00DD10B7" w:rsidRPr="00DD10B7">
              <w:rPr>
                <w:b w:val="0"/>
              </w:rPr>
              <w:t xml:space="preserve"> frekvenčním měničem</w:t>
            </w:r>
            <w:r w:rsidR="00DD10B7">
              <w:rPr>
                <w:b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A354" w14:textId="6379DB63" w:rsidR="00A45DF2" w:rsidRPr="00076607" w:rsidRDefault="00B83223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965A" w14:textId="4E15A965" w:rsidR="00A45DF2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554513B7" w14:textId="77777777" w:rsidTr="00EB2250">
        <w:trPr>
          <w:trHeight w:val="359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131" w14:textId="152E34B1" w:rsidR="00A30369" w:rsidRPr="00076607" w:rsidRDefault="00071BD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Nosný orgán ocelové lano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D38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EDB5" w14:textId="6248C368" w:rsidR="00A30369" w:rsidRPr="00076607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2275387D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753" w14:textId="77777777" w:rsidR="00583569" w:rsidRPr="00076607" w:rsidRDefault="00FA6695" w:rsidP="0007660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Elektrický pojezd kladkostroje</w:t>
            </w:r>
            <w:r w:rsidR="007C121C" w:rsidRPr="00076607">
              <w:rPr>
                <w:b w:val="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9B69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BDB9" w14:textId="10862B59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6CB2B186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6B7" w14:textId="56207ABB" w:rsidR="00A45DF2" w:rsidRPr="00076607" w:rsidRDefault="00B83223" w:rsidP="0008257F">
            <w:pPr>
              <w:pStyle w:val="Nzev"/>
              <w:jc w:val="left"/>
              <w:rPr>
                <w:b w:val="0"/>
              </w:rPr>
            </w:pPr>
            <w:r w:rsidRPr="00B83223">
              <w:rPr>
                <w:b w:val="0"/>
              </w:rPr>
              <w:t>Napájení kladk</w:t>
            </w:r>
            <w:r>
              <w:rPr>
                <w:b w:val="0"/>
              </w:rPr>
              <w:t xml:space="preserve">ostroje - </w:t>
            </w:r>
            <w:r w:rsidRPr="00B83223">
              <w:rPr>
                <w:b w:val="0"/>
              </w:rPr>
              <w:t>kabel trolej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7BE2" w14:textId="315C6425" w:rsidR="00A45DF2" w:rsidRPr="00076607" w:rsidRDefault="00B83223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5B2E" w14:textId="77777777" w:rsidR="00A45DF2" w:rsidRPr="00076607" w:rsidRDefault="00A45DF2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B2F07" w:rsidRPr="00076607" w14:paraId="59DB3277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02E" w14:textId="35E95C28" w:rsidR="008B2F07" w:rsidRPr="00076607" w:rsidRDefault="008B2F07" w:rsidP="00E45C87">
            <w:pPr>
              <w:ind w:left="0"/>
              <w:rPr>
                <w:rFonts w:ascii="Times New Roman" w:eastAsiaTheme="minorHAnsi" w:hAnsi="Times New Roman"/>
                <w:snapToGrid w:val="0"/>
                <w:szCs w:val="22"/>
                <w:lang w:eastAsia="en-US"/>
              </w:rPr>
            </w:pPr>
            <w:r w:rsidRPr="00076607">
              <w:rPr>
                <w:rFonts w:ascii="Times New Roman" w:hAnsi="Times New Roman"/>
                <w:snapToGrid w:val="0"/>
              </w:rPr>
              <w:t xml:space="preserve">Rychlost zdvihu </w:t>
            </w:r>
            <w:r w:rsidR="00E45C87">
              <w:rPr>
                <w:rFonts w:ascii="Times New Roman" w:hAnsi="Times New Roman"/>
                <w:snapToGrid w:val="0"/>
              </w:rPr>
              <w:t xml:space="preserve">s plynulou regulací </w:t>
            </w:r>
            <w:r w:rsidR="007F0C6A" w:rsidRPr="00076607">
              <w:rPr>
                <w:rFonts w:ascii="Times New Roman" w:hAnsi="Times New Roman"/>
                <w:snapToGrid w:val="0"/>
              </w:rPr>
              <w:t xml:space="preserve">max. </w:t>
            </w:r>
            <w:r w:rsidR="00A45DF2">
              <w:rPr>
                <w:rFonts w:ascii="Times New Roman" w:hAnsi="Times New Roman"/>
                <w:snapToGrid w:val="0"/>
              </w:rPr>
              <w:t>5</w:t>
            </w:r>
            <w:r w:rsidRPr="00076607">
              <w:rPr>
                <w:rFonts w:ascii="Times New Roman" w:hAnsi="Times New Roman"/>
                <w:snapToGrid w:val="0"/>
              </w:rPr>
              <w:t xml:space="preserve"> m/min</w:t>
            </w:r>
            <w:r w:rsidR="00076607" w:rsidRPr="00076607">
              <w:rPr>
                <w:rFonts w:ascii="Times New Roman" w:hAnsi="Times New Roman"/>
                <w:b/>
                <w:snapToGrid w:val="0"/>
              </w:rPr>
              <w:t xml:space="preserve"> </w:t>
            </w:r>
            <w:r w:rsidR="00076607" w:rsidRPr="00DD10B7">
              <w:rPr>
                <w:rFonts w:ascii="Times New Roman" w:hAnsi="Times New Roman"/>
                <w:snapToGrid w:val="0"/>
              </w:rPr>
              <w:t>(</w:t>
            </w:r>
            <w:r w:rsidR="00972B6B">
              <w:rPr>
                <w:rFonts w:ascii="Times New Roman" w:hAnsi="Times New Roman"/>
                <w:snapToGrid w:val="0"/>
              </w:rPr>
              <w:t xml:space="preserve">pohon řízený </w:t>
            </w:r>
            <w:r w:rsidR="00DD10B7" w:rsidRPr="00DD10B7">
              <w:rPr>
                <w:rFonts w:ascii="Times New Roman" w:hAnsi="Times New Roman"/>
                <w:snapToGrid w:val="0"/>
              </w:rPr>
              <w:t>frekvenčním měničem</w:t>
            </w:r>
            <w:r w:rsidR="00076607" w:rsidRPr="00DD10B7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E87E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634" w14:textId="0C0B136A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11B8DC7A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205" w14:textId="2D6A6090" w:rsidR="008B2F07" w:rsidRPr="00076607" w:rsidRDefault="008B2F07" w:rsidP="00E45C8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 xml:space="preserve">Rychlost pojezdu kočky (kladkostroje) </w:t>
            </w:r>
            <w:r w:rsidR="00E45C87">
              <w:rPr>
                <w:b w:val="0"/>
                <w:snapToGrid w:val="0"/>
              </w:rPr>
              <w:t>s plynulou regulací</w:t>
            </w:r>
            <w:r w:rsidR="007F0C6A" w:rsidRPr="00076607">
              <w:rPr>
                <w:b w:val="0"/>
                <w:snapToGrid w:val="0"/>
              </w:rPr>
              <w:t xml:space="preserve"> - max. </w:t>
            </w:r>
            <w:r w:rsidR="00C13852">
              <w:rPr>
                <w:b w:val="0"/>
                <w:snapToGrid w:val="0"/>
              </w:rPr>
              <w:t>3</w:t>
            </w:r>
            <w:r w:rsidR="00A45DF2">
              <w:rPr>
                <w:b w:val="0"/>
                <w:snapToGrid w:val="0"/>
              </w:rPr>
              <w:t>0</w:t>
            </w:r>
            <w:r w:rsidRPr="00076607">
              <w:rPr>
                <w:b w:val="0"/>
                <w:snapToGrid w:val="0"/>
              </w:rPr>
              <w:t xml:space="preserve"> m/min</w:t>
            </w:r>
            <w:r w:rsidR="00076607" w:rsidRPr="00076607">
              <w:rPr>
                <w:b w:val="0"/>
                <w:snapToGrid w:val="0"/>
              </w:rPr>
              <w:t xml:space="preserve"> (</w:t>
            </w:r>
            <w:r w:rsidR="00DD10B7">
              <w:rPr>
                <w:b w:val="0"/>
                <w:snapToGrid w:val="0"/>
              </w:rPr>
              <w:t>pohon</w:t>
            </w:r>
            <w:r w:rsidR="00972B6B">
              <w:rPr>
                <w:b w:val="0"/>
                <w:snapToGrid w:val="0"/>
              </w:rPr>
              <w:t xml:space="preserve"> řízený</w:t>
            </w:r>
            <w:r w:rsidR="00DD10B7" w:rsidRPr="00DD10B7">
              <w:rPr>
                <w:b w:val="0"/>
                <w:snapToGrid w:val="0"/>
              </w:rPr>
              <w:t xml:space="preserve"> frekvenčním měničem</w:t>
            </w:r>
            <w:r w:rsidR="00076607" w:rsidRPr="00076607">
              <w:rPr>
                <w:b w:val="0"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8E25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398" w14:textId="5648AE4F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33C31C67" w14:textId="77777777" w:rsidTr="00EB2250">
        <w:trPr>
          <w:trHeight w:val="132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D50" w14:textId="37112BB4" w:rsidR="00583569" w:rsidRPr="00076607" w:rsidRDefault="00FA669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Provozní napětí </w:t>
            </w:r>
            <w:r w:rsidR="00484A9C">
              <w:rPr>
                <w:b w:val="0"/>
              </w:rPr>
              <w:t xml:space="preserve"> 3x 230/</w:t>
            </w:r>
            <w:r w:rsidRPr="00076607">
              <w:rPr>
                <w:b w:val="0"/>
              </w:rPr>
              <w:t xml:space="preserve">400V, 50 Hz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4D0E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E781" w14:textId="481A1F46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530C1" w:rsidRPr="00076607" w14:paraId="4302B417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8DC5" w14:textId="1AE03C2E" w:rsidR="008530C1" w:rsidRPr="00076607" w:rsidRDefault="008530C1" w:rsidP="002F0448">
            <w:pPr>
              <w:pStyle w:val="Nzev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Blokování napájení jeřábu při zapnuté troleji (</w:t>
            </w:r>
            <w:r w:rsidR="002F0448">
              <w:rPr>
                <w:b w:val="0"/>
                <w:snapToGrid w:val="0"/>
              </w:rPr>
              <w:t>impuls z rozvaděče RSIG)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8F1E" w14:textId="188B0F6C" w:rsidR="008530C1" w:rsidRPr="00076607" w:rsidRDefault="008530C1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2F7D" w14:textId="77777777" w:rsidR="008530C1" w:rsidRPr="00076607" w:rsidRDefault="008530C1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4111FFEF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5B68" w14:textId="4C335860" w:rsidR="00583569" w:rsidRPr="00076607" w:rsidRDefault="00106718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>E</w:t>
            </w:r>
            <w:r w:rsidR="007C121C" w:rsidRPr="00076607">
              <w:rPr>
                <w:b w:val="0"/>
                <w:snapToGrid w:val="0"/>
              </w:rPr>
              <w:t xml:space="preserve">l. </w:t>
            </w:r>
            <w:proofErr w:type="gramStart"/>
            <w:r w:rsidR="007C121C" w:rsidRPr="00076607">
              <w:rPr>
                <w:b w:val="0"/>
                <w:snapToGrid w:val="0"/>
              </w:rPr>
              <w:t>krytí</w:t>
            </w:r>
            <w:proofErr w:type="gramEnd"/>
            <w:r w:rsidR="007C121C" w:rsidRPr="00076607">
              <w:rPr>
                <w:b w:val="0"/>
                <w:snapToGrid w:val="0"/>
              </w:rPr>
              <w:t xml:space="preserve"> jeřábu </w:t>
            </w:r>
            <w:r w:rsidR="00484A9C">
              <w:rPr>
                <w:b w:val="0"/>
                <w:snapToGrid w:val="0"/>
              </w:rPr>
              <w:t xml:space="preserve">min. </w:t>
            </w:r>
            <w:r w:rsidR="007C121C" w:rsidRPr="00076607">
              <w:rPr>
                <w:b w:val="0"/>
                <w:snapToGrid w:val="0"/>
              </w:rPr>
              <w:t xml:space="preserve">IP 54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8344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A36A" w14:textId="77777777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1C4A99" w:rsidRPr="00076607" w14:paraId="42121F59" w14:textId="77777777" w:rsidTr="00EB2250">
        <w:trPr>
          <w:trHeight w:val="30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946" w14:textId="63AEDDEC" w:rsidR="001C4A99" w:rsidRPr="00076607" w:rsidRDefault="007A78E4" w:rsidP="00A45DF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lastRenderedPageBreak/>
              <w:t xml:space="preserve">Koncové vypínání pojezdu kladkostroje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D062" w14:textId="77777777" w:rsidR="001C4A99" w:rsidRPr="00076607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2668" w14:textId="77777777" w:rsidR="001C4A99" w:rsidRPr="00076607" w:rsidRDefault="001C4A9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5D8FB56E" w14:textId="77777777" w:rsidTr="00EB2250">
        <w:trPr>
          <w:trHeight w:val="25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2AE" w14:textId="77777777" w:rsidR="007C121C" w:rsidRPr="00076607" w:rsidRDefault="007C121C" w:rsidP="007C121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Ovládaní - </w:t>
            </w:r>
            <w:r w:rsidR="00106718" w:rsidRPr="00076607">
              <w:rPr>
                <w:b w:val="0"/>
                <w:snapToGrid w:val="0"/>
              </w:rPr>
              <w:t>závěsným ovládačem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35E3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5C9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1A30E70C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F00" w14:textId="77777777" w:rsidR="007C121C" w:rsidRPr="00076607" w:rsidRDefault="00076607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Zařízení</w:t>
            </w:r>
            <w:r w:rsidR="007C121C" w:rsidRPr="0007660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proti </w:t>
            </w:r>
            <w:r w:rsidR="007C121C" w:rsidRPr="00076607">
              <w:rPr>
                <w:b w:val="0"/>
              </w:rPr>
              <w:t>přetížení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FE5F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6797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500EE3AF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F02D" w14:textId="51DEFDCD" w:rsidR="00A45DF2" w:rsidRDefault="00A45DF2" w:rsidP="007C121C">
            <w:pPr>
              <w:pStyle w:val="Nzev"/>
              <w:jc w:val="left"/>
              <w:rPr>
                <w:b w:val="0"/>
              </w:rPr>
            </w:pPr>
            <w:r w:rsidRPr="00A45DF2">
              <w:rPr>
                <w:b w:val="0"/>
              </w:rPr>
              <w:t>Barevné</w:t>
            </w:r>
            <w:r>
              <w:rPr>
                <w:b w:val="0"/>
              </w:rPr>
              <w:t xml:space="preserve"> provedení </w:t>
            </w:r>
            <w:r w:rsidR="00B83223"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Ral</w:t>
            </w:r>
            <w:proofErr w:type="spellEnd"/>
            <w:r>
              <w:rPr>
                <w:b w:val="0"/>
              </w:rPr>
              <w:t xml:space="preserve"> 5012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A7E4" w14:textId="100873C4" w:rsidR="00A45DF2" w:rsidRPr="00076607" w:rsidRDefault="00A45DF2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C2D8" w14:textId="77777777" w:rsidR="00A45DF2" w:rsidRPr="00076607" w:rsidRDefault="00A45DF2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45D9EA3A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A73C" w14:textId="362DE28F" w:rsidR="00B83223" w:rsidRPr="00B83223" w:rsidRDefault="00B83223" w:rsidP="00B83223">
            <w:pPr>
              <w:pStyle w:val="Nzev"/>
              <w:rPr>
                <w:snapToGrid w:val="0"/>
              </w:rPr>
            </w:pPr>
            <w:r w:rsidRPr="00B83223">
              <w:rPr>
                <w:snapToGrid w:val="0"/>
              </w:rPr>
              <w:t>Příslušenství otočného sloupového jeřábu 6,5 t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7FA4" w14:textId="77777777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7E1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A7FB9E5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215" w14:textId="78EC1682" w:rsidR="00B83223" w:rsidRPr="00B83223" w:rsidRDefault="00B83223" w:rsidP="001031B4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H</w:t>
            </w:r>
            <w:r w:rsidRPr="00B83223">
              <w:rPr>
                <w:b w:val="0"/>
              </w:rPr>
              <w:t>lavní vypínač uzamykatelný na sloupu jeřábu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2F17" w14:textId="5BEBCC96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489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236FE81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B4A" w14:textId="5697D388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B</w:t>
            </w:r>
            <w:r w:rsidRPr="00B83223">
              <w:rPr>
                <w:b w:val="0"/>
              </w:rPr>
              <w:t>ezpečnostní označení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EE5F" w14:textId="4842D4FC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A035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6A9753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1D82" w14:textId="199AEA6A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B83223">
              <w:rPr>
                <w:b w:val="0"/>
              </w:rPr>
              <w:t>árazníky pro pojezd kladkostroje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DE11" w14:textId="6F076513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03DA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</w:tbl>
    <w:p w14:paraId="6D7C072F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A2C7947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358584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B4FE1EF" w14:textId="77777777" w:rsidR="005F12F1" w:rsidRPr="00076607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29B6484" w14:textId="77777777" w:rsidR="005F12F1" w:rsidRPr="00076607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V ……………..… dne:</w:t>
      </w:r>
    </w:p>
    <w:p w14:paraId="2E6BFBDD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FAA13F0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ACBE968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BC60124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6268B0F" w14:textId="77777777" w:rsidR="00EA6463" w:rsidRPr="00076607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....................................................</w:t>
      </w:r>
      <w:r w:rsidR="008546AA" w:rsidRPr="00076607">
        <w:rPr>
          <w:rFonts w:ascii="Times New Roman" w:hAnsi="Times New Roman"/>
          <w:sz w:val="24"/>
        </w:rPr>
        <w:t>.........</w:t>
      </w:r>
    </w:p>
    <w:p w14:paraId="778E9D24" w14:textId="77777777" w:rsidR="00555369" w:rsidRDefault="00555369" w:rsidP="007E2AD4">
      <w:pPr>
        <w:ind w:left="4536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52F70D4" w14:textId="77777777" w:rsidR="00555369" w:rsidRPr="00830845" w:rsidRDefault="00555369" w:rsidP="007E2AD4">
      <w:pPr>
        <w:ind w:left="4536" w:firstLine="6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FB19523" w14:textId="62782E29" w:rsidR="005713B7" w:rsidRPr="00076607" w:rsidRDefault="00555369" w:rsidP="007E2AD4">
      <w:pPr>
        <w:ind w:left="3686" w:right="70" w:firstLine="3"/>
        <w:jc w:val="both"/>
        <w:rPr>
          <w:rFonts w:ascii="Times New Roman" w:hAnsi="Times New Roman"/>
          <w:sz w:val="24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5713B7" w:rsidRPr="0007660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10C3" w14:textId="77777777" w:rsidR="00E30BB2" w:rsidRDefault="00E30BB2">
      <w:r>
        <w:separator/>
      </w:r>
    </w:p>
  </w:endnote>
  <w:endnote w:type="continuationSeparator" w:id="0">
    <w:p w14:paraId="480F9849" w14:textId="77777777" w:rsidR="00E30BB2" w:rsidRDefault="00E3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BC7C" w14:textId="77777777" w:rsidR="00E30BB2" w:rsidRDefault="00E30BB2">
      <w:r>
        <w:separator/>
      </w:r>
    </w:p>
  </w:footnote>
  <w:footnote w:type="continuationSeparator" w:id="0">
    <w:p w14:paraId="57C56F6F" w14:textId="77777777" w:rsidR="00E30BB2" w:rsidRDefault="00E3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B53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7B06E2" wp14:editId="6EC3E02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C93F6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B23D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BD891" wp14:editId="3E266545">
          <wp:simplePos x="0" y="0"/>
          <wp:positionH relativeFrom="page">
            <wp:posOffset>774065</wp:posOffset>
          </wp:positionH>
          <wp:positionV relativeFrom="page">
            <wp:posOffset>343535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39D5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F85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087D"/>
    <w:rsid w:val="0003200B"/>
    <w:rsid w:val="0003237B"/>
    <w:rsid w:val="00035F16"/>
    <w:rsid w:val="000435E2"/>
    <w:rsid w:val="00052356"/>
    <w:rsid w:val="00052D34"/>
    <w:rsid w:val="00055CA4"/>
    <w:rsid w:val="000562CC"/>
    <w:rsid w:val="00071BD5"/>
    <w:rsid w:val="0007238E"/>
    <w:rsid w:val="000724CC"/>
    <w:rsid w:val="000758E4"/>
    <w:rsid w:val="00076607"/>
    <w:rsid w:val="0008257F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31B4"/>
    <w:rsid w:val="00105054"/>
    <w:rsid w:val="00106718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1CCB"/>
    <w:rsid w:val="00166C1A"/>
    <w:rsid w:val="001672D0"/>
    <w:rsid w:val="0016757A"/>
    <w:rsid w:val="00175E00"/>
    <w:rsid w:val="00177BAD"/>
    <w:rsid w:val="00187CBA"/>
    <w:rsid w:val="001976D2"/>
    <w:rsid w:val="001A070A"/>
    <w:rsid w:val="001A2368"/>
    <w:rsid w:val="001B3495"/>
    <w:rsid w:val="001B62F9"/>
    <w:rsid w:val="001C0842"/>
    <w:rsid w:val="001C4A99"/>
    <w:rsid w:val="001D513F"/>
    <w:rsid w:val="001D67AD"/>
    <w:rsid w:val="001E0DC1"/>
    <w:rsid w:val="001E27D5"/>
    <w:rsid w:val="001E2903"/>
    <w:rsid w:val="001E325D"/>
    <w:rsid w:val="001E33BF"/>
    <w:rsid w:val="001F6EBF"/>
    <w:rsid w:val="002008A7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0448"/>
    <w:rsid w:val="002F10F8"/>
    <w:rsid w:val="002F357E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229CB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73875"/>
    <w:rsid w:val="003770BD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51DE6"/>
    <w:rsid w:val="00453862"/>
    <w:rsid w:val="004644BE"/>
    <w:rsid w:val="00466DA1"/>
    <w:rsid w:val="00475807"/>
    <w:rsid w:val="00475A28"/>
    <w:rsid w:val="00476633"/>
    <w:rsid w:val="00476B1A"/>
    <w:rsid w:val="00481A17"/>
    <w:rsid w:val="0048203C"/>
    <w:rsid w:val="00484A9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1CE7"/>
    <w:rsid w:val="00514391"/>
    <w:rsid w:val="0052508B"/>
    <w:rsid w:val="00530CB9"/>
    <w:rsid w:val="005342B4"/>
    <w:rsid w:val="00535AC3"/>
    <w:rsid w:val="00541629"/>
    <w:rsid w:val="00542D49"/>
    <w:rsid w:val="00554A48"/>
    <w:rsid w:val="00555369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090C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6C2A"/>
    <w:rsid w:val="00797B90"/>
    <w:rsid w:val="007A2C06"/>
    <w:rsid w:val="007A5D7C"/>
    <w:rsid w:val="007A78E4"/>
    <w:rsid w:val="007B0379"/>
    <w:rsid w:val="007B2DE4"/>
    <w:rsid w:val="007B5580"/>
    <w:rsid w:val="007C121C"/>
    <w:rsid w:val="007C48CF"/>
    <w:rsid w:val="007D0CD7"/>
    <w:rsid w:val="007D0EB4"/>
    <w:rsid w:val="007D139A"/>
    <w:rsid w:val="007D7F93"/>
    <w:rsid w:val="007E06E7"/>
    <w:rsid w:val="007E2AD4"/>
    <w:rsid w:val="007E680B"/>
    <w:rsid w:val="007F0C6A"/>
    <w:rsid w:val="007F58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18BE"/>
    <w:rsid w:val="008526B6"/>
    <w:rsid w:val="008530C1"/>
    <w:rsid w:val="008546AA"/>
    <w:rsid w:val="00854CCB"/>
    <w:rsid w:val="008557DA"/>
    <w:rsid w:val="00855F48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2F07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668DD"/>
    <w:rsid w:val="009713E1"/>
    <w:rsid w:val="00972B6B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E7C0C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45DF2"/>
    <w:rsid w:val="00A5556B"/>
    <w:rsid w:val="00A601C1"/>
    <w:rsid w:val="00A6520E"/>
    <w:rsid w:val="00A65507"/>
    <w:rsid w:val="00A668D1"/>
    <w:rsid w:val="00A70A07"/>
    <w:rsid w:val="00A72DC8"/>
    <w:rsid w:val="00A855C0"/>
    <w:rsid w:val="00A865E4"/>
    <w:rsid w:val="00AB0BBB"/>
    <w:rsid w:val="00AB4067"/>
    <w:rsid w:val="00AB5D1A"/>
    <w:rsid w:val="00AC1D6A"/>
    <w:rsid w:val="00AC2486"/>
    <w:rsid w:val="00AC5767"/>
    <w:rsid w:val="00AC6E04"/>
    <w:rsid w:val="00AC77E0"/>
    <w:rsid w:val="00AD18A8"/>
    <w:rsid w:val="00AD1BB6"/>
    <w:rsid w:val="00AD363F"/>
    <w:rsid w:val="00AD44F2"/>
    <w:rsid w:val="00AD59F1"/>
    <w:rsid w:val="00AD669A"/>
    <w:rsid w:val="00AD7B05"/>
    <w:rsid w:val="00AE7E71"/>
    <w:rsid w:val="00AE7ED5"/>
    <w:rsid w:val="00AF2FFA"/>
    <w:rsid w:val="00AF7786"/>
    <w:rsid w:val="00AF7CDE"/>
    <w:rsid w:val="00B10EF9"/>
    <w:rsid w:val="00B113AB"/>
    <w:rsid w:val="00B15158"/>
    <w:rsid w:val="00B247C6"/>
    <w:rsid w:val="00B31564"/>
    <w:rsid w:val="00B4075F"/>
    <w:rsid w:val="00B434B9"/>
    <w:rsid w:val="00B44EF5"/>
    <w:rsid w:val="00B47F26"/>
    <w:rsid w:val="00B51D32"/>
    <w:rsid w:val="00B530A7"/>
    <w:rsid w:val="00B61EDD"/>
    <w:rsid w:val="00B650F8"/>
    <w:rsid w:val="00B71D91"/>
    <w:rsid w:val="00B73428"/>
    <w:rsid w:val="00B83223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13852"/>
    <w:rsid w:val="00C1557C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509B"/>
    <w:rsid w:val="00CC5913"/>
    <w:rsid w:val="00CC659F"/>
    <w:rsid w:val="00CC6912"/>
    <w:rsid w:val="00CC7F3C"/>
    <w:rsid w:val="00CD1C3F"/>
    <w:rsid w:val="00CE148D"/>
    <w:rsid w:val="00CE149D"/>
    <w:rsid w:val="00CF3D61"/>
    <w:rsid w:val="00D065B7"/>
    <w:rsid w:val="00D0771E"/>
    <w:rsid w:val="00D07CF1"/>
    <w:rsid w:val="00D10C0D"/>
    <w:rsid w:val="00D164F1"/>
    <w:rsid w:val="00D200F9"/>
    <w:rsid w:val="00D210BE"/>
    <w:rsid w:val="00D27103"/>
    <w:rsid w:val="00D27CB2"/>
    <w:rsid w:val="00D30D91"/>
    <w:rsid w:val="00D36B04"/>
    <w:rsid w:val="00D406F1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10B7"/>
    <w:rsid w:val="00DD5CB2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0BB2"/>
    <w:rsid w:val="00E365EF"/>
    <w:rsid w:val="00E37F90"/>
    <w:rsid w:val="00E425AF"/>
    <w:rsid w:val="00E45C87"/>
    <w:rsid w:val="00E46D97"/>
    <w:rsid w:val="00E4711F"/>
    <w:rsid w:val="00E501C3"/>
    <w:rsid w:val="00E50389"/>
    <w:rsid w:val="00E52181"/>
    <w:rsid w:val="00E53B10"/>
    <w:rsid w:val="00E5442C"/>
    <w:rsid w:val="00E71F6F"/>
    <w:rsid w:val="00E8501B"/>
    <w:rsid w:val="00E902AC"/>
    <w:rsid w:val="00E919CF"/>
    <w:rsid w:val="00E92421"/>
    <w:rsid w:val="00EA6463"/>
    <w:rsid w:val="00EB2250"/>
    <w:rsid w:val="00EB3776"/>
    <w:rsid w:val="00EB4C16"/>
    <w:rsid w:val="00EB51A9"/>
    <w:rsid w:val="00EC38CB"/>
    <w:rsid w:val="00ED126A"/>
    <w:rsid w:val="00EE60F9"/>
    <w:rsid w:val="00EF04DC"/>
    <w:rsid w:val="00EF1568"/>
    <w:rsid w:val="00EF76D2"/>
    <w:rsid w:val="00F01347"/>
    <w:rsid w:val="00F23F1A"/>
    <w:rsid w:val="00F31269"/>
    <w:rsid w:val="00F34384"/>
    <w:rsid w:val="00F45DE0"/>
    <w:rsid w:val="00F468B7"/>
    <w:rsid w:val="00F56A01"/>
    <w:rsid w:val="00F646A1"/>
    <w:rsid w:val="00F705C1"/>
    <w:rsid w:val="00F70835"/>
    <w:rsid w:val="00F76454"/>
    <w:rsid w:val="00F768A7"/>
    <w:rsid w:val="00F77520"/>
    <w:rsid w:val="00F849C5"/>
    <w:rsid w:val="00F852ED"/>
    <w:rsid w:val="00F927DD"/>
    <w:rsid w:val="00F9424D"/>
    <w:rsid w:val="00FA6695"/>
    <w:rsid w:val="00FA7DD7"/>
    <w:rsid w:val="00FB1945"/>
    <w:rsid w:val="00FB4162"/>
    <w:rsid w:val="00FC0958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8BA8BC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7A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353C-E91B-4618-AD37-E0C6767B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5</cp:revision>
  <cp:lastPrinted>2019-08-05T07:18:00Z</cp:lastPrinted>
  <dcterms:created xsi:type="dcterms:W3CDTF">2021-04-13T04:03:00Z</dcterms:created>
  <dcterms:modified xsi:type="dcterms:W3CDTF">2021-04-13T11:26:00Z</dcterms:modified>
</cp:coreProperties>
</file>