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0114B9" w:rsidRPr="000114B9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0114B9" w:rsidRPr="000114B9">
        <w:rPr>
          <w:rFonts w:ascii="Arial" w:hAnsi="Arial" w:cs="Arial"/>
          <w:sz w:val="20"/>
          <w:szCs w:val="20"/>
        </w:rPr>
        <w:t>Malačkou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0114B9" w:rsidRPr="000114B9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Bankovní spojení: </w:t>
      </w:r>
      <w:r w:rsidRPr="000114B9">
        <w:rPr>
          <w:rFonts w:ascii="Arial" w:hAnsi="Arial" w:cs="Arial"/>
          <w:sz w:val="20"/>
          <w:szCs w:val="20"/>
        </w:rPr>
        <w:tab/>
        <w:t>KB Znojmo</w:t>
      </w:r>
    </w:p>
    <w:p w:rsidR="0024153E" w:rsidRPr="004548B1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Číslo účtu: </w:t>
      </w:r>
      <w:r w:rsidRPr="000114B9">
        <w:rPr>
          <w:rFonts w:ascii="Arial" w:hAnsi="Arial" w:cs="Arial"/>
          <w:sz w:val="20"/>
          <w:szCs w:val="20"/>
        </w:rPr>
        <w:tab/>
      </w:r>
      <w:r w:rsidRPr="000114B9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4148B1" w:rsidRPr="004148B1" w:rsidRDefault="004148B1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Pr="004148B1">
        <w:rPr>
          <w:rFonts w:ascii="Arial" w:hAnsi="Arial" w:cs="Arial"/>
          <w:sz w:val="20"/>
          <w:szCs w:val="20"/>
        </w:rPr>
        <w:t>dodávk</w:t>
      </w:r>
      <w:r>
        <w:rPr>
          <w:rFonts w:ascii="Arial" w:hAnsi="Arial" w:cs="Arial"/>
          <w:sz w:val="20"/>
          <w:szCs w:val="20"/>
        </w:rPr>
        <w:t>u</w:t>
      </w:r>
      <w:r w:rsidRPr="004148B1">
        <w:rPr>
          <w:rFonts w:ascii="Arial" w:hAnsi="Arial" w:cs="Arial"/>
          <w:sz w:val="20"/>
          <w:szCs w:val="20"/>
        </w:rPr>
        <w:t xml:space="preserve"> a montáž skluzav</w:t>
      </w:r>
      <w:r w:rsidR="005F3E09">
        <w:rPr>
          <w:rFonts w:ascii="Arial" w:hAnsi="Arial" w:cs="Arial"/>
          <w:sz w:val="20"/>
          <w:szCs w:val="20"/>
        </w:rPr>
        <w:t>ky</w:t>
      </w:r>
      <w:r w:rsidRPr="004148B1">
        <w:rPr>
          <w:rFonts w:ascii="Arial" w:hAnsi="Arial" w:cs="Arial"/>
          <w:sz w:val="20"/>
          <w:szCs w:val="20"/>
        </w:rPr>
        <w:t xml:space="preserve"> na koupališti v </w:t>
      </w:r>
      <w:proofErr w:type="spellStart"/>
      <w:r w:rsidRPr="004148B1">
        <w:rPr>
          <w:rFonts w:ascii="Arial" w:hAnsi="Arial" w:cs="Arial"/>
          <w:sz w:val="20"/>
          <w:szCs w:val="20"/>
        </w:rPr>
        <w:t>Mramoticích</w:t>
      </w:r>
      <w:proofErr w:type="spellEnd"/>
      <w:r w:rsidRPr="004148B1">
        <w:rPr>
          <w:rFonts w:ascii="Arial" w:hAnsi="Arial" w:cs="Arial"/>
          <w:sz w:val="20"/>
          <w:szCs w:val="20"/>
        </w:rPr>
        <w:t xml:space="preserve"> dle </w:t>
      </w:r>
      <w:r w:rsidR="005F3E09">
        <w:rPr>
          <w:rFonts w:ascii="Arial" w:hAnsi="Arial" w:cs="Arial"/>
          <w:sz w:val="20"/>
          <w:szCs w:val="20"/>
        </w:rPr>
        <w:t xml:space="preserve">projektové dokumentace zpracované firmou </w:t>
      </w:r>
      <w:proofErr w:type="spellStart"/>
      <w:r w:rsidR="005F3E09" w:rsidRPr="005F3E09">
        <w:rPr>
          <w:rFonts w:ascii="Arial" w:hAnsi="Arial" w:cs="Arial"/>
          <w:sz w:val="20"/>
          <w:szCs w:val="20"/>
        </w:rPr>
        <w:t>Kovo</w:t>
      </w:r>
      <w:proofErr w:type="spellEnd"/>
      <w:r w:rsidR="005F3E09" w:rsidRPr="005F3E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09" w:rsidRPr="005F3E09">
        <w:rPr>
          <w:rFonts w:ascii="Arial" w:hAnsi="Arial" w:cs="Arial"/>
          <w:sz w:val="20"/>
          <w:szCs w:val="20"/>
        </w:rPr>
        <w:t>Bath</w:t>
      </w:r>
      <w:proofErr w:type="spellEnd"/>
      <w:r w:rsidR="005F3E09" w:rsidRPr="005F3E09">
        <w:rPr>
          <w:rFonts w:ascii="Arial" w:hAnsi="Arial" w:cs="Arial"/>
          <w:sz w:val="20"/>
          <w:szCs w:val="20"/>
        </w:rPr>
        <w:t xml:space="preserve"> s.r.o., Babice 135</w:t>
      </w:r>
      <w:r w:rsidRPr="004148B1">
        <w:rPr>
          <w:rFonts w:ascii="Arial" w:hAnsi="Arial" w:cs="Arial"/>
          <w:sz w:val="20"/>
          <w:szCs w:val="20"/>
        </w:rPr>
        <w:t xml:space="preserve">. </w:t>
      </w:r>
    </w:p>
    <w:p w:rsidR="004148B1" w:rsidRDefault="004148B1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148B1">
        <w:rPr>
          <w:rFonts w:ascii="Arial" w:hAnsi="Arial" w:cs="Arial"/>
          <w:sz w:val="20"/>
          <w:szCs w:val="20"/>
        </w:rPr>
        <w:t>Skluzavk</w:t>
      </w:r>
      <w:r w:rsidR="005F3E09">
        <w:rPr>
          <w:rFonts w:ascii="Arial" w:hAnsi="Arial" w:cs="Arial"/>
          <w:sz w:val="20"/>
          <w:szCs w:val="20"/>
        </w:rPr>
        <w:t>a</w:t>
      </w:r>
      <w:r w:rsidRPr="004148B1">
        <w:rPr>
          <w:rFonts w:ascii="Arial" w:hAnsi="Arial" w:cs="Arial"/>
          <w:sz w:val="20"/>
          <w:szCs w:val="20"/>
        </w:rPr>
        <w:t xml:space="preserve"> musí být opatřen</w:t>
      </w:r>
      <w:r w:rsidR="005F3E09">
        <w:rPr>
          <w:rFonts w:ascii="Arial" w:hAnsi="Arial" w:cs="Arial"/>
          <w:sz w:val="20"/>
          <w:szCs w:val="20"/>
        </w:rPr>
        <w:t>a</w:t>
      </w:r>
      <w:r w:rsidRPr="004148B1">
        <w:rPr>
          <w:rFonts w:ascii="Arial" w:hAnsi="Arial" w:cs="Arial"/>
          <w:sz w:val="20"/>
          <w:szCs w:val="20"/>
        </w:rPr>
        <w:t xml:space="preserve"> potřebnou certifikací a musí splňovat veškeré dotčené předpisy a normy odpovídající účelu využití a umístění.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0443CB">
        <w:rPr>
          <w:rFonts w:ascii="Arial" w:hAnsi="Arial" w:cs="Arial"/>
          <w:sz w:val="20"/>
          <w:szCs w:val="20"/>
        </w:rPr>
        <w:t xml:space="preserve"> a dodávky</w:t>
      </w:r>
      <w:r w:rsidR="005C180F" w:rsidRPr="004008EA">
        <w:rPr>
          <w:rFonts w:ascii="Arial" w:hAnsi="Arial" w:cs="Arial"/>
          <w:sz w:val="20"/>
          <w:szCs w:val="20"/>
        </w:rPr>
        <w:t xml:space="preserve"> </w:t>
      </w:r>
      <w:r w:rsidR="00871D21" w:rsidRPr="004008EA">
        <w:rPr>
          <w:rFonts w:ascii="Arial" w:hAnsi="Arial" w:cs="Arial"/>
          <w:sz w:val="20"/>
          <w:szCs w:val="20"/>
        </w:rPr>
        <w:t>s názvem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6E62E3" w:rsidRPr="006E62E3">
        <w:rPr>
          <w:rFonts w:ascii="Arial" w:hAnsi="Arial" w:cs="Arial"/>
          <w:b/>
          <w:sz w:val="20"/>
          <w:szCs w:val="20"/>
        </w:rPr>
        <w:t xml:space="preserve">Koupaliště </w:t>
      </w:r>
      <w:proofErr w:type="spellStart"/>
      <w:r w:rsidR="006E62E3" w:rsidRPr="006E62E3">
        <w:rPr>
          <w:rFonts w:ascii="Arial" w:hAnsi="Arial" w:cs="Arial"/>
          <w:b/>
          <w:sz w:val="20"/>
          <w:szCs w:val="20"/>
        </w:rPr>
        <w:t>Mramotice</w:t>
      </w:r>
      <w:proofErr w:type="spellEnd"/>
      <w:r w:rsidR="006E62E3" w:rsidRPr="006E62E3">
        <w:rPr>
          <w:rFonts w:ascii="Arial" w:hAnsi="Arial" w:cs="Arial"/>
          <w:b/>
          <w:sz w:val="20"/>
          <w:szCs w:val="20"/>
        </w:rPr>
        <w:t xml:space="preserve"> - </w:t>
      </w:r>
      <w:r w:rsidR="005F3E09">
        <w:rPr>
          <w:rFonts w:ascii="Arial" w:hAnsi="Arial" w:cs="Arial"/>
          <w:b/>
          <w:sz w:val="20"/>
          <w:szCs w:val="20"/>
        </w:rPr>
        <w:t xml:space="preserve">velká </w:t>
      </w:r>
      <w:r w:rsidR="006E62E3" w:rsidRPr="006E62E3">
        <w:rPr>
          <w:rFonts w:ascii="Arial" w:hAnsi="Arial" w:cs="Arial"/>
          <w:b/>
          <w:sz w:val="20"/>
          <w:szCs w:val="20"/>
        </w:rPr>
        <w:t>skluzavk</w:t>
      </w:r>
      <w:r w:rsidR="005F3E09">
        <w:rPr>
          <w:rFonts w:ascii="Arial" w:hAnsi="Arial" w:cs="Arial"/>
          <w:b/>
          <w:sz w:val="20"/>
          <w:szCs w:val="20"/>
        </w:rPr>
        <w:t>a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6E62E3" w:rsidRPr="006E62E3">
        <w:rPr>
          <w:rFonts w:ascii="Arial" w:hAnsi="Arial" w:cs="Arial"/>
          <w:b/>
          <w:sz w:val="20"/>
          <w:szCs w:val="20"/>
        </w:rPr>
        <w:t xml:space="preserve">Koupaliště </w:t>
      </w:r>
      <w:proofErr w:type="spellStart"/>
      <w:r w:rsidR="006E62E3" w:rsidRPr="006E62E3">
        <w:rPr>
          <w:rFonts w:ascii="Arial" w:hAnsi="Arial" w:cs="Arial"/>
          <w:b/>
          <w:sz w:val="20"/>
          <w:szCs w:val="20"/>
        </w:rPr>
        <w:t>Mramotice</w:t>
      </w:r>
      <w:proofErr w:type="spellEnd"/>
      <w:r w:rsidR="006E62E3" w:rsidRPr="006E62E3">
        <w:rPr>
          <w:rFonts w:ascii="Arial" w:hAnsi="Arial" w:cs="Arial"/>
          <w:b/>
          <w:sz w:val="20"/>
          <w:szCs w:val="20"/>
        </w:rPr>
        <w:t xml:space="preserve"> - </w:t>
      </w:r>
      <w:r w:rsidR="005F3E09" w:rsidRPr="005F3E09">
        <w:rPr>
          <w:rFonts w:ascii="Arial" w:hAnsi="Arial" w:cs="Arial"/>
          <w:b/>
          <w:sz w:val="20"/>
          <w:szCs w:val="20"/>
        </w:rPr>
        <w:t>velká skluzavka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4548B1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 xml:space="preserve">čení </w:t>
      </w:r>
      <w:r w:rsidR="00272FB1" w:rsidRPr="002B66DB">
        <w:rPr>
          <w:rFonts w:ascii="Arial" w:hAnsi="Arial" w:cs="Arial"/>
          <w:sz w:val="20"/>
          <w:szCs w:val="20"/>
        </w:rPr>
        <w:t>a účinné ochránění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</w:t>
      </w:r>
      <w:r w:rsidR="00B737CB">
        <w:rPr>
          <w:rFonts w:ascii="Arial" w:hAnsi="Arial" w:cs="Arial"/>
          <w:sz w:val="20"/>
          <w:szCs w:val="20"/>
        </w:rPr>
        <w:t>i touto osobou přímo zhotovitel vč. předání dokladů o likvidaci odpadu objednateli,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 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případně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="007E3B16">
        <w:rPr>
          <w:rFonts w:ascii="Arial" w:hAnsi="Arial" w:cs="Arial"/>
          <w:sz w:val="20"/>
          <w:szCs w:val="20"/>
        </w:rPr>
        <w:t>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opatření či rozhodnutí nutných k provedení díla,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85332C" w:rsidRPr="00ED51E1" w:rsidRDefault="00217765" w:rsidP="00ED51E1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B120AD" w:rsidRPr="00B120AD" w:rsidRDefault="00B120AD" w:rsidP="000B3098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B120AD">
        <w:rPr>
          <w:rFonts w:ascii="Arial" w:hAnsi="Arial" w:cs="Arial"/>
          <w:sz w:val="20"/>
          <w:szCs w:val="20"/>
        </w:rPr>
        <w:t xml:space="preserve">Termín ukončení a předání díla: </w:t>
      </w:r>
      <w:r w:rsidRPr="00B120AD">
        <w:rPr>
          <w:rFonts w:ascii="Arial" w:hAnsi="Arial" w:cs="Arial"/>
          <w:b/>
          <w:sz w:val="20"/>
          <w:szCs w:val="20"/>
        </w:rPr>
        <w:t xml:space="preserve">do </w:t>
      </w:r>
      <w:r w:rsidR="000B3098">
        <w:rPr>
          <w:rFonts w:ascii="Arial" w:hAnsi="Arial" w:cs="Arial"/>
          <w:b/>
          <w:sz w:val="20"/>
          <w:szCs w:val="20"/>
        </w:rPr>
        <w:t>9</w:t>
      </w:r>
      <w:r w:rsidRPr="00B120AD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 xml:space="preserve">po sobě jdoucích </w:t>
      </w:r>
      <w:r w:rsidRPr="00B120AD">
        <w:rPr>
          <w:rFonts w:ascii="Arial" w:hAnsi="Arial" w:cs="Arial"/>
          <w:b/>
          <w:sz w:val="20"/>
          <w:szCs w:val="20"/>
        </w:rPr>
        <w:t>kalendářních dnů</w:t>
      </w:r>
      <w:r w:rsidRPr="00B120AD">
        <w:rPr>
          <w:rFonts w:ascii="Arial" w:hAnsi="Arial" w:cs="Arial"/>
          <w:sz w:val="20"/>
          <w:szCs w:val="20"/>
        </w:rPr>
        <w:t>,</w:t>
      </w:r>
    </w:p>
    <w:p w:rsidR="00BA2EC7" w:rsidRPr="004548B1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D46176" w:rsidRPr="0036666D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6666D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36666D">
        <w:rPr>
          <w:rFonts w:ascii="Arial" w:hAnsi="Arial" w:cs="Arial"/>
          <w:snapToGrid w:val="0"/>
          <w:sz w:val="20"/>
          <w:szCs w:val="20"/>
        </w:rPr>
        <w:t>em</w:t>
      </w:r>
      <w:r w:rsidRPr="0036666D">
        <w:rPr>
          <w:rFonts w:ascii="Arial" w:hAnsi="Arial" w:cs="Arial"/>
          <w:snapToGrid w:val="0"/>
          <w:sz w:val="20"/>
          <w:szCs w:val="20"/>
        </w:rPr>
        <w:t xml:space="preserve"> plnění díla 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jsou </w:t>
      </w:r>
      <w:proofErr w:type="spellStart"/>
      <w:r w:rsidR="0036666D" w:rsidRPr="0036666D">
        <w:rPr>
          <w:rFonts w:ascii="Arial" w:hAnsi="Arial" w:cs="Arial"/>
          <w:snapToGrid w:val="0"/>
          <w:sz w:val="20"/>
          <w:szCs w:val="20"/>
        </w:rPr>
        <w:t>Mramotice</w:t>
      </w:r>
      <w:proofErr w:type="spellEnd"/>
      <w:r w:rsidR="00630384">
        <w:rPr>
          <w:rFonts w:ascii="Arial" w:hAnsi="Arial" w:cs="Arial"/>
          <w:snapToGrid w:val="0"/>
          <w:sz w:val="20"/>
          <w:szCs w:val="20"/>
        </w:rPr>
        <w:t>.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 </w:t>
      </w:r>
      <w:r w:rsidR="00630384" w:rsidRPr="00630384">
        <w:rPr>
          <w:rFonts w:ascii="Arial" w:hAnsi="Arial" w:cs="Arial"/>
          <w:snapToGrid w:val="0"/>
          <w:sz w:val="20"/>
          <w:szCs w:val="20"/>
        </w:rPr>
        <w:t>Místo plnění je blíže vymezeno projektovou dokumentací.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lastRenderedPageBreak/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r w:rsidR="00AE2037" w:rsidRPr="004548B1">
        <w:rPr>
          <w:rFonts w:ascii="Arial" w:hAnsi="Arial" w:cs="Arial"/>
          <w:sz w:val="20"/>
          <w:szCs w:val="20"/>
        </w:rPr>
        <w:t>této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0B309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0B3098">
        <w:rPr>
          <w:rFonts w:ascii="Arial" w:hAnsi="Arial" w:cs="Arial"/>
          <w:sz w:val="20"/>
          <w:szCs w:val="20"/>
        </w:rPr>
        <w:t>pdf</w:t>
      </w:r>
      <w:proofErr w:type="spellEnd"/>
      <w:r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lastRenderedPageBreak/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lastRenderedPageBreak/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145193" w:rsidRPr="004548B1">
        <w:rPr>
          <w:rFonts w:ascii="Arial" w:hAnsi="Arial" w:cs="Arial"/>
          <w:sz w:val="20"/>
          <w:szCs w:val="20"/>
          <w:highlight w:val="yellow"/>
        </w:rPr>
        <w:t>………….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lastRenderedPageBreak/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</w:t>
      </w:r>
      <w:r w:rsidRPr="009A7F0B">
        <w:rPr>
          <w:rFonts w:ascii="Arial" w:hAnsi="Arial" w:cs="Arial"/>
          <w:sz w:val="20"/>
          <w:szCs w:val="20"/>
        </w:rPr>
        <w:lastRenderedPageBreak/>
        <w:t xml:space="preserve">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21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 P</w:t>
      </w:r>
      <w:r w:rsidR="008378A6" w:rsidRPr="004548B1">
        <w:rPr>
          <w:rFonts w:ascii="Arial" w:hAnsi="Arial" w:cs="Arial"/>
          <w:sz w:val="20"/>
          <w:szCs w:val="20"/>
        </w:rPr>
        <w:t>oložkový rozpočet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 xml:space="preserve">Ing. Jakub </w:t>
      </w:r>
      <w:proofErr w:type="spellStart"/>
      <w:r w:rsidR="007559EF">
        <w:rPr>
          <w:rFonts w:ascii="Arial" w:hAnsi="Arial" w:cs="Arial"/>
          <w:sz w:val="20"/>
          <w:szCs w:val="20"/>
        </w:rPr>
        <w:t>Malačka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12" w:rsidRDefault="00916312">
      <w:r>
        <w:separator/>
      </w:r>
    </w:p>
  </w:endnote>
  <w:endnote w:type="continuationSeparator" w:id="0">
    <w:p w:rsidR="00916312" w:rsidRDefault="0091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7E6132">
      <w:rPr>
        <w:rFonts w:ascii="Arial" w:hAnsi="Arial" w:cs="Arial"/>
        <w:b/>
        <w:noProof/>
        <w:color w:val="808080"/>
        <w:sz w:val="20"/>
        <w:szCs w:val="20"/>
      </w:rPr>
      <w:t>9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7E6132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12" w:rsidRDefault="00916312">
      <w:r>
        <w:separator/>
      </w:r>
    </w:p>
  </w:footnote>
  <w:footnote w:type="continuationSeparator" w:id="0">
    <w:p w:rsidR="00916312" w:rsidRDefault="0091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6805"/>
    <w:rsid w:val="000B2CB1"/>
    <w:rsid w:val="000B3098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132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C8F"/>
    <w:rsid w:val="00904ABE"/>
    <w:rsid w:val="0091122C"/>
    <w:rsid w:val="009143AB"/>
    <w:rsid w:val="00916312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B01A91"/>
    <w:rsid w:val="00B120AD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6845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774F-7B1C-4ABD-9B67-FEEE69F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10</Pages>
  <Words>4952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67</cp:revision>
  <cp:lastPrinted>2021-03-31T13:46:00Z</cp:lastPrinted>
  <dcterms:created xsi:type="dcterms:W3CDTF">2016-04-12T12:06:00Z</dcterms:created>
  <dcterms:modified xsi:type="dcterms:W3CDTF">2021-03-31T13:51:00Z</dcterms:modified>
</cp:coreProperties>
</file>