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D1E61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8D1E61">
        <w:rPr>
          <w:rFonts w:ascii="Arial" w:hAnsi="Arial" w:cs="Arial"/>
          <w:sz w:val="20"/>
          <w:szCs w:val="20"/>
        </w:rPr>
        <w:t>Malačkou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</w:t>
      </w:r>
      <w:r w:rsidR="00FA666C">
        <w:rPr>
          <w:rFonts w:ascii="Arial" w:hAnsi="Arial" w:cs="Arial"/>
          <w:sz w:val="20"/>
          <w:szCs w:val="20"/>
        </w:rPr>
        <w:t>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6390F" w:rsidRPr="00D6390F" w:rsidRDefault="00FA666C" w:rsidP="00D6390F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Sídlo:</w:t>
      </w:r>
      <w:r w:rsidRPr="00D639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Zapsán: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IČ</w:t>
      </w:r>
      <w:r w:rsidR="00FA666C">
        <w:rPr>
          <w:rFonts w:ascii="Arial" w:hAnsi="Arial" w:cs="Arial"/>
          <w:sz w:val="20"/>
          <w:szCs w:val="20"/>
        </w:rPr>
        <w:t>O</w:t>
      </w:r>
      <w:r w:rsidR="00393013">
        <w:rPr>
          <w:rFonts w:ascii="Arial" w:hAnsi="Arial" w:cs="Arial"/>
          <w:sz w:val="20"/>
          <w:szCs w:val="20"/>
        </w:rPr>
        <w:t>:</w:t>
      </w:r>
      <w:r w:rsidR="00393013">
        <w:rPr>
          <w:rFonts w:ascii="Arial" w:hAnsi="Arial" w:cs="Arial"/>
          <w:sz w:val="20"/>
          <w:szCs w:val="20"/>
        </w:rPr>
        <w:tab/>
      </w:r>
      <w:r w:rsidR="00393013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DIČ: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Daňový režim:</w:t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Bankovní spojení: </w:t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Číslo účtu: 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E64BF7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Zástupce ve věcech technických: </w:t>
      </w:r>
      <w:r w:rsidR="00FA666C">
        <w:rPr>
          <w:rFonts w:ascii="Arial" w:hAnsi="Arial" w:cs="Arial"/>
          <w:sz w:val="20"/>
          <w:szCs w:val="20"/>
        </w:rPr>
        <w:t>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FA666C">
        <w:rPr>
          <w:rFonts w:ascii="Arial" w:hAnsi="Arial" w:cs="Arial"/>
          <w:sz w:val="20"/>
          <w:szCs w:val="20"/>
        </w:rPr>
        <w:t>stavební práce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FA666C" w:rsidRPr="00FA666C">
        <w:rPr>
          <w:rFonts w:ascii="Arial" w:hAnsi="Arial" w:cs="Arial"/>
          <w:b/>
          <w:bCs/>
          <w:sz w:val="20"/>
          <w:szCs w:val="20"/>
        </w:rPr>
        <w:t>Grilování – piknik ve městě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FA666C" w:rsidRPr="00FA666C">
        <w:rPr>
          <w:rFonts w:ascii="Arial" w:hAnsi="Arial" w:cs="Arial"/>
          <w:b/>
          <w:bCs/>
          <w:sz w:val="20"/>
          <w:szCs w:val="20"/>
        </w:rPr>
        <w:t>Grilování – piknik ve městě</w:t>
      </w:r>
      <w:r w:rsidR="00473F3E">
        <w:rPr>
          <w:rFonts w:ascii="Arial" w:hAnsi="Arial" w:cs="Arial"/>
          <w:b/>
          <w:sz w:val="20"/>
          <w:szCs w:val="20"/>
        </w:rPr>
        <w:t>“</w:t>
      </w:r>
      <w:r w:rsidR="00FA666C">
        <w:rPr>
          <w:rFonts w:ascii="Arial" w:hAnsi="Arial" w:cs="Arial"/>
          <w:b/>
          <w:sz w:val="20"/>
          <w:szCs w:val="20"/>
        </w:rPr>
        <w:t>.</w:t>
      </w:r>
    </w:p>
    <w:p w:rsidR="00D876E0" w:rsidRPr="00D876E0" w:rsidRDefault="00D4754F" w:rsidP="00D876E0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Specifikac</w:t>
      </w:r>
      <w:r w:rsidR="00473F3E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6D76A2">
        <w:rPr>
          <w:rFonts w:ascii="Arial" w:hAnsi="Arial" w:cs="Arial"/>
          <w:sz w:val="20"/>
          <w:szCs w:val="20"/>
        </w:rPr>
        <w:t xml:space="preserve">pro </w:t>
      </w:r>
      <w:r w:rsidR="00473F3E">
        <w:rPr>
          <w:rFonts w:ascii="Arial" w:hAnsi="Arial" w:cs="Arial"/>
          <w:sz w:val="20"/>
          <w:szCs w:val="20"/>
        </w:rPr>
        <w:t>realizaci akce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902A09" w:rsidRPr="008E1CF1">
        <w:rPr>
          <w:rFonts w:ascii="Arial" w:hAnsi="Arial" w:cs="Arial"/>
          <w:b/>
          <w:sz w:val="20"/>
          <w:szCs w:val="20"/>
        </w:rPr>
        <w:t>„</w:t>
      </w:r>
      <w:r w:rsidR="00FA666C" w:rsidRPr="00FA666C">
        <w:rPr>
          <w:rFonts w:ascii="Arial" w:hAnsi="Arial" w:cs="Arial"/>
          <w:b/>
          <w:bCs/>
          <w:sz w:val="20"/>
          <w:szCs w:val="20"/>
        </w:rPr>
        <w:t>Grilování – piknik ve městě</w:t>
      </w:r>
      <w:r w:rsidR="00902A09" w:rsidRPr="00765D19">
        <w:rPr>
          <w:rFonts w:ascii="Arial" w:hAnsi="Arial" w:cs="Arial"/>
          <w:b/>
          <w:sz w:val="20"/>
          <w:szCs w:val="20"/>
        </w:rPr>
        <w:t>“</w:t>
      </w:r>
      <w:r w:rsidR="00FA666C">
        <w:rPr>
          <w:rFonts w:ascii="Arial" w:hAnsi="Arial" w:cs="Arial"/>
          <w:sz w:val="20"/>
          <w:szCs w:val="20"/>
        </w:rPr>
        <w:t xml:space="preserve"> a dokumentací, kterou navrhl Ing. arch. Michal Štancl.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C177B9" w:rsidRPr="00C177B9" w:rsidRDefault="00B76F3A" w:rsidP="00B76F3A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B76F3A">
        <w:rPr>
          <w:rFonts w:ascii="Arial" w:hAnsi="Arial" w:cs="Arial"/>
          <w:sz w:val="20"/>
          <w:szCs w:val="20"/>
        </w:rPr>
        <w:t>vypracování geodetického zaměření skutečného provedení stavby v počtu 2 vyhotovení v tištěné podobě a jednom vyhotovení v elektronické formě v obvyklém formátu na vhodném datovém nosiči,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2D5344" w:rsidRPr="002D5344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</w:t>
      </w:r>
      <w:r>
        <w:rPr>
          <w:rFonts w:ascii="Arial" w:hAnsi="Arial" w:cs="Arial"/>
          <w:sz w:val="20"/>
          <w:szCs w:val="20"/>
        </w:rPr>
        <w:t>.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vyjádření a stanoviska DOSS, správců či vlastníků IS, správců či vlastníků sousedních nemovitostí, </w:t>
      </w:r>
      <w:proofErr w:type="gramStart"/>
      <w:r w:rsidRPr="002D5344">
        <w:rPr>
          <w:rFonts w:ascii="Arial" w:hAnsi="Arial" w:cs="Arial"/>
          <w:sz w:val="20"/>
          <w:szCs w:val="20"/>
        </w:rPr>
        <w:t>apod..</w:t>
      </w:r>
      <w:proofErr w:type="gramEnd"/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A072B4">
        <w:rPr>
          <w:rFonts w:ascii="Arial" w:hAnsi="Arial" w:cs="Arial"/>
          <w:b/>
          <w:sz w:val="20"/>
          <w:szCs w:val="20"/>
        </w:rPr>
        <w:t>do 5 dnů</w:t>
      </w:r>
      <w:r w:rsidRPr="00A072B4">
        <w:rPr>
          <w:rFonts w:ascii="Arial" w:hAnsi="Arial" w:cs="Arial"/>
          <w:sz w:val="20"/>
          <w:szCs w:val="20"/>
        </w:rPr>
        <w:t xml:space="preserve"> od výzvy k převzetí staveniště.</w:t>
      </w:r>
    </w:p>
    <w:p w:rsidR="00C6147E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ukončení díla a předání jeho předmětu: ve lhůtě </w:t>
      </w:r>
      <w:r w:rsidR="00BF626F">
        <w:rPr>
          <w:rFonts w:ascii="Arial" w:hAnsi="Arial" w:cs="Arial"/>
          <w:b/>
          <w:sz w:val="20"/>
          <w:szCs w:val="20"/>
        </w:rPr>
        <w:t>4</w:t>
      </w:r>
      <w:r w:rsidRPr="00A072B4">
        <w:rPr>
          <w:rFonts w:ascii="Arial" w:hAnsi="Arial" w:cs="Arial"/>
          <w:b/>
          <w:sz w:val="20"/>
          <w:szCs w:val="20"/>
        </w:rPr>
        <w:t>0 po sobě jdoucích dnů.</w:t>
      </w:r>
    </w:p>
    <w:p w:rsidR="00C6147E" w:rsidRPr="006D76A2" w:rsidRDefault="00D27E13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27E13">
        <w:rPr>
          <w:rFonts w:ascii="Arial" w:hAnsi="Arial" w:cs="Arial"/>
          <w:sz w:val="20"/>
          <w:szCs w:val="20"/>
        </w:rPr>
        <w:t>Místem plnění díla je nábřeží řeky Dyje</w:t>
      </w:r>
      <w:r w:rsidR="00AD7930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="00AD7930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AD7930">
        <w:rPr>
          <w:rFonts w:ascii="Arial" w:hAnsi="Arial" w:cs="Arial"/>
          <w:sz w:val="20"/>
          <w:szCs w:val="20"/>
        </w:rPr>
        <w:t>Melkusova</w:t>
      </w:r>
      <w:proofErr w:type="spellEnd"/>
      <w:r w:rsidR="00AD7930">
        <w:rPr>
          <w:rFonts w:ascii="Arial" w:hAnsi="Arial" w:cs="Arial"/>
          <w:sz w:val="20"/>
          <w:szCs w:val="20"/>
        </w:rPr>
        <w:t xml:space="preserve">, </w:t>
      </w:r>
      <w:r w:rsidRPr="00D27E13">
        <w:rPr>
          <w:rFonts w:ascii="Arial" w:hAnsi="Arial" w:cs="Arial"/>
          <w:sz w:val="20"/>
          <w:szCs w:val="20"/>
        </w:rPr>
        <w:t>Znojmo (48.8373486N, 16.0571700E).</w:t>
      </w:r>
      <w:r w:rsidR="00A072B4" w:rsidRPr="00A072B4">
        <w:rPr>
          <w:rFonts w:ascii="Arial" w:hAnsi="Arial" w:cs="Arial"/>
          <w:sz w:val="20"/>
          <w:szCs w:val="20"/>
        </w:rPr>
        <w:t xml:space="preserve">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FA666C">
        <w:rPr>
          <w:rFonts w:ascii="Arial" w:hAnsi="Arial" w:cs="Arial"/>
          <w:b/>
          <w:sz w:val="20"/>
          <w:szCs w:val="20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FA666C">
        <w:rPr>
          <w:rFonts w:ascii="Arial" w:hAnsi="Arial" w:cs="Arial"/>
          <w:sz w:val="20"/>
          <w:szCs w:val="20"/>
        </w:rPr>
        <w:t xml:space="preserve"> (faktury)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FA666C" w:rsidRPr="006D76A2" w:rsidRDefault="00FA666C" w:rsidP="00FA666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A666C">
        <w:rPr>
          <w:rFonts w:ascii="Arial" w:hAnsi="Arial" w:cs="Arial"/>
          <w:sz w:val="20"/>
          <w:szCs w:val="20"/>
        </w:rPr>
        <w:t>Veškeré faktury budou vč. požadovaných náležitostí předávány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Pr="00FA666C">
        <w:rPr>
          <w:rFonts w:ascii="Arial" w:hAnsi="Arial" w:cs="Arial"/>
          <w:sz w:val="20"/>
          <w:szCs w:val="20"/>
        </w:rPr>
        <w:t>pdf</w:t>
      </w:r>
      <w:proofErr w:type="spellEnd"/>
      <w:r w:rsidRPr="00FA666C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lastRenderedPageBreak/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B76F3A" w:rsidP="00B76F3A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B76F3A">
        <w:rPr>
          <w:rFonts w:ascii="Arial" w:hAnsi="Arial" w:cs="Arial"/>
          <w:sz w:val="20"/>
          <w:szCs w:val="20"/>
        </w:rPr>
        <w:t>geodetické zaměření skutečného provedení stavby</w:t>
      </w:r>
      <w:r w:rsidR="00512800">
        <w:rPr>
          <w:rFonts w:ascii="Arial" w:hAnsi="Arial" w:cs="Arial"/>
          <w:sz w:val="20"/>
          <w:szCs w:val="20"/>
        </w:rPr>
        <w:t xml:space="preserve">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 xml:space="preserve">záruční doba se prodlouží o dobu od převzetí předmětu díla </w:t>
      </w:r>
      <w:r w:rsidR="00A46982" w:rsidRPr="006D76A2">
        <w:rPr>
          <w:rFonts w:ascii="Arial" w:hAnsi="Arial" w:cs="Arial"/>
          <w:sz w:val="20"/>
          <w:szCs w:val="20"/>
        </w:rPr>
        <w:lastRenderedPageBreak/>
        <w:t>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FA666C">
        <w:rPr>
          <w:rFonts w:ascii="Arial" w:hAnsi="Arial" w:cs="Arial"/>
          <w:sz w:val="20"/>
          <w:szCs w:val="20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D570E6" w:rsidP="00D570E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70E6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není oprávněn započíst své pohledávky ani pohledávky třetí osoby proti pohledávkám objednatele, ani své pohledávky a nároky vzniklé ze smlouvy nebo v souvislosti s jejím plněním </w:t>
      </w:r>
      <w:r w:rsidRPr="006D76A2">
        <w:rPr>
          <w:rFonts w:ascii="Arial" w:hAnsi="Arial" w:cs="Arial"/>
          <w:sz w:val="20"/>
          <w:szCs w:val="20"/>
        </w:rPr>
        <w:lastRenderedPageBreak/>
        <w:t>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115061" w:rsidRDefault="00115061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15061">
        <w:rPr>
          <w:rFonts w:ascii="Arial" w:hAnsi="Arial" w:cs="Arial"/>
          <w:sz w:val="20"/>
          <w:szCs w:val="20"/>
        </w:rPr>
        <w:t xml:space="preserve">Uzavření této smlouvy o dílo bylo schváleno Radou města Znojma dne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 xml:space="preserve">, usnesením č.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 xml:space="preserve">/2021, bodem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>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6C20E7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</w:p>
    <w:p w:rsidR="00E37098" w:rsidRDefault="00E37098" w:rsidP="00D96352">
      <w:pPr>
        <w:spacing w:after="60"/>
        <w:ind w:left="357"/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p w:rsidR="000B68B0" w:rsidRPr="00D6390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445CE0">
        <w:rPr>
          <w:rFonts w:ascii="Arial" w:hAnsi="Arial" w:cs="Arial"/>
          <w:sz w:val="20"/>
          <w:szCs w:val="20"/>
        </w:rPr>
        <w:t>Ing. Jakub Malačka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3" w:rsidRDefault="009A2C03">
      <w:r>
        <w:separator/>
      </w:r>
    </w:p>
  </w:endnote>
  <w:endnote w:type="continuationSeparator" w:id="0">
    <w:p w:rsidR="009A2C03" w:rsidRDefault="009A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AD7930">
      <w:rPr>
        <w:rFonts w:ascii="Arial" w:hAnsi="Arial" w:cs="Arial"/>
        <w:b/>
        <w:noProof/>
        <w:color w:val="808080"/>
        <w:sz w:val="20"/>
        <w:szCs w:val="20"/>
      </w:rPr>
      <w:t>1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AD7930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3" w:rsidRDefault="009A2C03">
      <w:r>
        <w:separator/>
      </w:r>
    </w:p>
  </w:footnote>
  <w:footnote w:type="continuationSeparator" w:id="0">
    <w:p w:rsidR="009A2C03" w:rsidRDefault="009A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4F3E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0F7BBF"/>
    <w:rsid w:val="00103A3E"/>
    <w:rsid w:val="00104780"/>
    <w:rsid w:val="00113C1C"/>
    <w:rsid w:val="00115061"/>
    <w:rsid w:val="00115751"/>
    <w:rsid w:val="00116A40"/>
    <w:rsid w:val="00117818"/>
    <w:rsid w:val="00122CE2"/>
    <w:rsid w:val="001247A9"/>
    <w:rsid w:val="001260DE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37D5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1F7D91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3013"/>
    <w:rsid w:val="0039556E"/>
    <w:rsid w:val="003A0E56"/>
    <w:rsid w:val="003A3AFA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CE0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422D6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20E7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36E6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D1E61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2C03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2B4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D7930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76F3A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2413"/>
    <w:rsid w:val="00BD52E1"/>
    <w:rsid w:val="00BD6115"/>
    <w:rsid w:val="00BD6A70"/>
    <w:rsid w:val="00BE2605"/>
    <w:rsid w:val="00BE5354"/>
    <w:rsid w:val="00BE580B"/>
    <w:rsid w:val="00BF626F"/>
    <w:rsid w:val="00C0103F"/>
    <w:rsid w:val="00C11E70"/>
    <w:rsid w:val="00C13CD6"/>
    <w:rsid w:val="00C1412E"/>
    <w:rsid w:val="00C165E4"/>
    <w:rsid w:val="00C177B9"/>
    <w:rsid w:val="00C17FA6"/>
    <w:rsid w:val="00C22C0C"/>
    <w:rsid w:val="00C253BC"/>
    <w:rsid w:val="00C25F0C"/>
    <w:rsid w:val="00C36818"/>
    <w:rsid w:val="00C465A4"/>
    <w:rsid w:val="00C473FB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A5BFD"/>
    <w:rsid w:val="00CB6667"/>
    <w:rsid w:val="00CC1262"/>
    <w:rsid w:val="00CC3019"/>
    <w:rsid w:val="00CD1003"/>
    <w:rsid w:val="00CD501B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27E1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70E6"/>
    <w:rsid w:val="00D61E20"/>
    <w:rsid w:val="00D6390F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2A58"/>
    <w:rsid w:val="00F83C48"/>
    <w:rsid w:val="00F856D0"/>
    <w:rsid w:val="00F947A2"/>
    <w:rsid w:val="00FA0041"/>
    <w:rsid w:val="00FA1528"/>
    <w:rsid w:val="00FA666C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AEB3-3E01-4035-9347-7C60EFF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4679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17</cp:revision>
  <cp:lastPrinted>2018-02-20T14:05:00Z</cp:lastPrinted>
  <dcterms:created xsi:type="dcterms:W3CDTF">2020-07-15T11:44:00Z</dcterms:created>
  <dcterms:modified xsi:type="dcterms:W3CDTF">2021-06-09T06:45:00Z</dcterms:modified>
</cp:coreProperties>
</file>