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8" w:rsidRPr="00116FC8" w:rsidRDefault="007F59EA" w:rsidP="003119F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119F8" w:rsidRPr="00116FC8">
        <w:rPr>
          <w:b/>
          <w:sz w:val="32"/>
          <w:szCs w:val="32"/>
        </w:rPr>
        <w:t xml:space="preserve">Kučeřík </w:t>
      </w:r>
      <w:r w:rsidR="00116FC8" w:rsidRPr="00116FC8">
        <w:rPr>
          <w:b/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22E7C" w:rsidRDefault="001A7A75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REKONSTRUKCE UL. VANČUROVA A HOROVA</w:t>
      </w:r>
    </w:p>
    <w:p w:rsidR="001A7A75" w:rsidRDefault="001A7A75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  <w:t>říjen  20</w:t>
      </w:r>
      <w:r w:rsidR="00116FC8">
        <w:rPr>
          <w:sz w:val="32"/>
          <w:szCs w:val="32"/>
        </w:rPr>
        <w:t>20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1A7A75" w:rsidRDefault="001A7A75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ve Znojmě v </w:t>
      </w:r>
      <w:r w:rsidR="001A7A75">
        <w:t>centru</w:t>
      </w:r>
      <w:r w:rsidR="003119F8">
        <w:t xml:space="preserve"> v zastavěném území</w:t>
      </w:r>
      <w:r w:rsidRPr="00DE58BB">
        <w:t xml:space="preserve">. </w:t>
      </w:r>
      <w:r w:rsidR="003119F8">
        <w:t xml:space="preserve">Navržená </w:t>
      </w:r>
      <w:r w:rsidR="00922E7C">
        <w:t>rekonstrukce</w:t>
      </w:r>
      <w:r w:rsidR="003119F8">
        <w:t xml:space="preserve"> komunikace je v souladu s charakterem území. Nyní je komunikace využívána pro dopravní obsluhu přilehlých rodinných</w:t>
      </w:r>
      <w:r w:rsidR="001A7A75">
        <w:t xml:space="preserve"> a bytových </w:t>
      </w:r>
      <w:r w:rsidR="003119F8">
        <w:t>domů.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5"/>
        <w:gridCol w:w="4725"/>
      </w:tblGrid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A7A75" w:rsidRPr="00051880" w:rsidRDefault="001A7A75" w:rsidP="001A7A75">
            <w:pPr>
              <w:rPr>
                <w:sz w:val="32"/>
                <w:szCs w:val="36"/>
              </w:rPr>
            </w:pPr>
            <w:r w:rsidRPr="002C2CEA">
              <w:t>Geomorfologické, geologické a hydrogeologické poměry</w:t>
            </w:r>
          </w:p>
          <w:p w:rsidR="001A7A75" w:rsidRPr="00DB7688" w:rsidRDefault="001A7A75" w:rsidP="001A7A75">
            <w:pPr>
              <w:ind w:left="705"/>
              <w:jc w:val="both"/>
              <w:outlineLvl w:val="1"/>
            </w:pPr>
            <w:bookmarkStart w:id="0" w:name="_Toc204945251"/>
            <w:r w:rsidRPr="00DB7688">
              <w:t xml:space="preserve">Sledovaná lokalita leží na hranici soustav Českého masivu </w:t>
            </w:r>
            <w:r w:rsidRPr="00DB7688">
              <w:rPr>
                <w:rFonts w:ascii="Arial" w:hAnsi="Arial" w:cs="Arial"/>
                <w:sz w:val="20"/>
                <w:szCs w:val="20"/>
              </w:rPr>
              <w:t>– (pokryvné útvary a magmatity)</w:t>
            </w:r>
            <w:r w:rsidRPr="00DB7688">
              <w:t xml:space="preserve"> a Karpat.</w:t>
            </w:r>
          </w:p>
          <w:bookmarkEnd w:id="0"/>
          <w:p w:rsidR="001A7A75" w:rsidRPr="00DB7688" w:rsidRDefault="001A7A75" w:rsidP="001A7A75">
            <w:pPr>
              <w:ind w:left="142"/>
              <w:jc w:val="both"/>
              <w:outlineLvl w:val="1"/>
            </w:pPr>
            <w:r w:rsidRPr="00DB7688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</w:p>
          <w:tbl>
            <w:tblPr>
              <w:tblW w:w="5000" w:type="pct"/>
              <w:tblCellSpacing w:w="15" w:type="dxa"/>
              <w:tblInd w:w="75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740"/>
              <w:gridCol w:w="6620"/>
            </w:tblGrid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Soustava: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sz w:val="20"/>
                      <w:szCs w:val="20"/>
                    </w:rPr>
                    <w:t>Český masiv - pokryvné útvary a magmatity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Oblast: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kvartér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Typ horniny: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sediment nezpevněný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Hornina: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spraš, sprašová hlína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Popis: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spraš a sprašová hlína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Minerální složení: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křemen + příměsi</w:t>
                  </w: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 xml:space="preserve"> + CaCO3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Textura: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Celistvá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7A75" w:rsidRPr="00DB768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Barva: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sz w:val="20"/>
                      <w:szCs w:val="20"/>
                    </w:rPr>
                    <w:t>okrová</w:t>
                  </w:r>
                </w:p>
              </w:tc>
            </w:tr>
            <w:tr w:rsidR="001A7A75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Soustava: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sz w:val="20"/>
                      <w:szCs w:val="20"/>
                    </w:rPr>
                    <w:t>Karpaty</w:t>
                  </w:r>
                </w:p>
              </w:tc>
            </w:tr>
            <w:tr w:rsidR="001A7A75" w:rsidRPr="00CC7FF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Oblast: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153F1E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sz w:val="20"/>
                      <w:szCs w:val="20"/>
                    </w:rPr>
                    <w:t>karpatská předhlubeň</w:t>
                  </w:r>
                </w:p>
              </w:tc>
            </w:tr>
            <w:tr w:rsidR="001A7A75" w:rsidRPr="00CC7FF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Hornina: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písek, štěrk</w:t>
                  </w:r>
                </w:p>
              </w:tc>
            </w:tr>
            <w:tr w:rsidR="001A7A75" w:rsidRPr="00CC7FF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Popis: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štěrky, štěrkovitý písky, písky</w:t>
                  </w:r>
                </w:p>
              </w:tc>
            </w:tr>
            <w:tr w:rsidR="001A7A75" w:rsidRPr="00CC7FF8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DB7688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DB76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Typ horniny: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53F1E">
                    <w:rPr>
                      <w:rFonts w:ascii="Arial" w:hAnsi="Arial" w:cs="Arial"/>
                      <w:sz w:val="20"/>
                      <w:szCs w:val="20"/>
                    </w:rPr>
                    <w:t>sediment nezpevněný</w:t>
                  </w:r>
                </w:p>
                <w:p w:rsidR="001A7A75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A7A75" w:rsidRPr="00DB7688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05D98" w:rsidRPr="0025205E" w:rsidRDefault="00305D98" w:rsidP="001A7A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1A7A75">
        <w:rPr>
          <w:bCs/>
        </w:rPr>
        <w:t>3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lastRenderedPageBreak/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1A7A75" w:rsidRPr="006A61A4" w:rsidRDefault="001A7A75" w:rsidP="001A7A75">
      <w:pPr>
        <w:autoSpaceDE w:val="0"/>
        <w:autoSpaceDN w:val="0"/>
        <w:adjustRightInd w:val="0"/>
        <w:jc w:val="both"/>
      </w:pPr>
      <w:r w:rsidRPr="00620AF3">
        <w:rPr>
          <w:sz w:val="22"/>
          <w:szCs w:val="22"/>
        </w:rPr>
        <w:t xml:space="preserve">- </w:t>
      </w:r>
      <w:r>
        <w:t>Rekonstrukce m</w:t>
      </w:r>
      <w:r w:rsidRPr="006A61A4">
        <w:t>ístní</w:t>
      </w:r>
      <w:r>
        <w:t>ch</w:t>
      </w:r>
      <w:r w:rsidRPr="006A61A4">
        <w:t xml:space="preserve"> komunikac</w:t>
      </w:r>
      <w:r>
        <w:t>í</w:t>
      </w:r>
      <w:r w:rsidRPr="006A61A4">
        <w:t xml:space="preserve"> j</w:t>
      </w:r>
      <w:r>
        <w:t>sou navrženy</w:t>
      </w:r>
      <w:r w:rsidRPr="006A61A4">
        <w:t xml:space="preserve"> na pozemcích </w:t>
      </w:r>
      <w:r>
        <w:t xml:space="preserve">stávajících místních komunikací. </w:t>
      </w:r>
      <w:r w:rsidRPr="006A61A4">
        <w:t xml:space="preserve">Pozemek se nachází v k.ú. Znojmo – </w:t>
      </w:r>
      <w:r>
        <w:t>Město</w:t>
      </w:r>
      <w:r w:rsidRPr="006A61A4">
        <w:t>. Místo je přístupné ze stávající</w:t>
      </w:r>
      <w:r>
        <w:t>ch</w:t>
      </w:r>
      <w:r w:rsidRPr="006A61A4">
        <w:t xml:space="preserve"> místní</w:t>
      </w:r>
      <w:r>
        <w:t>ch</w:t>
      </w:r>
      <w:r w:rsidRPr="006A61A4">
        <w:t xml:space="preserve"> komunikac</w:t>
      </w:r>
      <w:r>
        <w:t>í ulic Horova a Vančurova</w:t>
      </w:r>
      <w:r w:rsidRPr="006A61A4">
        <w:t>.</w:t>
      </w:r>
    </w:p>
    <w:p w:rsidR="001A7A75" w:rsidRPr="00CF7028" w:rsidRDefault="001A7A75" w:rsidP="001A7A75">
      <w:pPr>
        <w:jc w:val="both"/>
        <w:outlineLvl w:val="0"/>
      </w:pPr>
      <w:r w:rsidRPr="00CF7028">
        <w:t xml:space="preserve">Podkladem pro zpracování bylo vstupní jednání se zástupci </w:t>
      </w:r>
      <w:r>
        <w:t>Města Znojma.</w:t>
      </w:r>
    </w:p>
    <w:p w:rsidR="001A7A75" w:rsidRPr="00CF7028" w:rsidRDefault="001A7A75" w:rsidP="001A7A75">
      <w:pPr>
        <w:jc w:val="both"/>
        <w:outlineLvl w:val="0"/>
      </w:pPr>
      <w:r w:rsidRPr="00CF7028">
        <w:t>Navrhovan</w:t>
      </w:r>
      <w:r>
        <w:t xml:space="preserve">á komunikace </w:t>
      </w:r>
      <w:r w:rsidRPr="00CF7028">
        <w:t>j</w:t>
      </w:r>
      <w:r>
        <w:t>e</w:t>
      </w:r>
      <w:r w:rsidRPr="00CF7028">
        <w:t xml:space="preserve"> ve shodě s technickými parametry odpovídajícími návrhovým parametrům kategorii a významu komunikace.</w:t>
      </w:r>
    </w:p>
    <w:p w:rsidR="001A7A75" w:rsidRDefault="001A7A75" w:rsidP="001A7A75">
      <w:pPr>
        <w:jc w:val="both"/>
        <w:outlineLvl w:val="0"/>
      </w:pPr>
      <w:r>
        <w:t>Stavba bude sloužit stejnému účelu, jako místní komunikace zajišťující přístup k stávající zástavbě RD a bytových domů.</w:t>
      </w:r>
      <w:r w:rsidRPr="00CF7028">
        <w:tab/>
      </w:r>
    </w:p>
    <w:p w:rsidR="001A7A75" w:rsidRDefault="001A7A75" w:rsidP="001A7A75">
      <w:pPr>
        <w:jc w:val="both"/>
        <w:outlineLvl w:val="0"/>
      </w:pPr>
      <w:r w:rsidRPr="00CF7028">
        <w:t xml:space="preserve">Zdůvodnění výběru stavebního pozemku – pozemek je </w:t>
      </w:r>
      <w:r>
        <w:t>stávající místní komunikace, vykazující poruchy způsobené opotřebením provozu a vlivem klimatických podmínek.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 xml:space="preserve">Odtokové podmínky z povrchu se nezmění. Dešťová voda z povrchu místní komunikace a sjezdů bude zachycována stávajícími dešťovými vpustěmi (bodové, liniové) a svedena do stávající kanalizace. 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 xml:space="preserve">Umístění místní komunikace, bude respektovat stávající  zástavbu z hlediska prostorového i výškového uspořádání. 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ab/>
        <w:t>V rámci rekonstrukce místní komunikace budou provedeny komunikace pro pěší a napojení na stávající pěší komunikace a vchody.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 xml:space="preserve">- stavba si vyžádá zábor zemědělského půdního fondu na pozemku č.p. </w:t>
      </w:r>
      <w:r w:rsidRPr="00FA1055">
        <w:rPr>
          <w:sz w:val="28"/>
        </w:rPr>
        <w:t xml:space="preserve">2418/4 </w:t>
      </w:r>
      <w:r w:rsidRPr="00FA1055">
        <w:rPr>
          <w:szCs w:val="22"/>
        </w:rPr>
        <w:t xml:space="preserve">  v k.ú. Znojmo-město.  Na pozemku bude předlážděn stávající vchod.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1A7A75" w:rsidRPr="00421AAA" w:rsidRDefault="001A7A75" w:rsidP="001A7A7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Šířka nově navržené komunikace umožní obousměrný provoz motorových vozidel</w:t>
      </w:r>
      <w:r w:rsidRPr="00421AAA">
        <w:rPr>
          <w:sz w:val="22"/>
          <w:szCs w:val="22"/>
        </w:rPr>
        <w:t>.</w:t>
      </w:r>
      <w:r>
        <w:rPr>
          <w:sz w:val="22"/>
          <w:szCs w:val="22"/>
        </w:rPr>
        <w:t xml:space="preserve"> K místní komunikaci přiléhá oboustranný chodník šířky 1,5 m. V úseku ul. Vančurova  zůstane zachován jednosměrný provoz a bude umožněnou parkování vozidel po obou stranách komunikace.</w:t>
      </w:r>
    </w:p>
    <w:p w:rsidR="001A7A75" w:rsidRPr="00421AAA" w:rsidRDefault="001A7A75" w:rsidP="001A7A75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Jsou navržena podélná parkovací stání šířky 2,00 m ( před školou - ul. Horova a v jednosměrném  úseku ul. Vančurova).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2CEA">
        <w:rPr>
          <w:sz w:val="22"/>
          <w:szCs w:val="22"/>
        </w:rPr>
        <w:t>- výstavba komunikací bude zahájena po rekonstrukci technické infrastruktury - vodovod, kanalizace splašková</w:t>
      </w:r>
      <w:r>
        <w:rPr>
          <w:sz w:val="22"/>
          <w:szCs w:val="22"/>
        </w:rPr>
        <w:t xml:space="preserve"> (viz</w:t>
      </w:r>
      <w:r w:rsidRPr="002C2CEA">
        <w:rPr>
          <w:sz w:val="22"/>
          <w:szCs w:val="22"/>
        </w:rPr>
        <w:t>.</w:t>
      </w:r>
      <w:r>
        <w:rPr>
          <w:sz w:val="22"/>
          <w:szCs w:val="22"/>
        </w:rPr>
        <w:t xml:space="preserve"> vyjádření V.A.S. a.s).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0E606C">
        <w:rPr>
          <w:sz w:val="26"/>
          <w:szCs w:val="26"/>
        </w:rPr>
        <w:t>Znojmo-město</w:t>
      </w:r>
    </w:p>
    <w:p w:rsidR="000E606C" w:rsidRDefault="000D0EB4" w:rsidP="000E606C">
      <w:pPr>
        <w:rPr>
          <w:b/>
          <w:i/>
          <w:szCs w:val="36"/>
        </w:rPr>
      </w:pPr>
      <w:r>
        <w:lastRenderedPageBreak/>
        <w:t xml:space="preserve">p. č.: </w:t>
      </w:r>
      <w:r w:rsidR="000E606C">
        <w:rPr>
          <w:szCs w:val="36"/>
        </w:rPr>
        <w:t>5448, 5447, 2976/1, 5468/1, 5446, 5467, 5445/1, 2418/4, 2418/5, 2408/1</w:t>
      </w:r>
      <w:r w:rsidR="00514263">
        <w:rPr>
          <w:szCs w:val="36"/>
        </w:rPr>
        <w:t>, 5444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0D0EB4" w:rsidRDefault="00B55B9C" w:rsidP="000D0EB4">
      <w:pPr>
        <w:pStyle w:val="Odstavecseseznamem"/>
        <w:ind w:left="0"/>
        <w:jc w:val="both"/>
        <w:outlineLvl w:val="0"/>
      </w:pPr>
      <w:r>
        <w:t xml:space="preserve">Ochranná pásma vzniknou </w:t>
      </w:r>
      <w:r w:rsidR="000D0EB4">
        <w:t xml:space="preserve"> na </w:t>
      </w:r>
      <w:r w:rsidR="000E606C">
        <w:t>pozemcích k.ú.</w:t>
      </w:r>
      <w:r w:rsidR="000D0EB4">
        <w:t xml:space="preserve"> </w:t>
      </w:r>
      <w:r w:rsidR="000E606C">
        <w:rPr>
          <w:sz w:val="26"/>
          <w:szCs w:val="26"/>
        </w:rPr>
        <w:t>Znojmo-město</w:t>
      </w:r>
    </w:p>
    <w:p w:rsidR="000E606C" w:rsidRDefault="00922E7C" w:rsidP="000E606C">
      <w:pPr>
        <w:rPr>
          <w:b/>
          <w:i/>
          <w:szCs w:val="36"/>
        </w:rPr>
      </w:pPr>
      <w:r>
        <w:rPr>
          <w:szCs w:val="36"/>
        </w:rPr>
        <w:t>Parcelní čísla:</w:t>
      </w:r>
      <w:r w:rsidRPr="00142E36">
        <w:rPr>
          <w:szCs w:val="36"/>
        </w:rPr>
        <w:t xml:space="preserve"> </w:t>
      </w:r>
      <w:r w:rsidR="000E606C">
        <w:rPr>
          <w:szCs w:val="36"/>
        </w:rPr>
        <w:t>5448, 5447, 2976/1, 5468/1, 5446, 5467, 5445/1, 2418/4, 2418/5, 2408/1</w:t>
      </w:r>
      <w:r w:rsidR="00514263">
        <w:rPr>
          <w:szCs w:val="36"/>
        </w:rPr>
        <w:t>,5444</w:t>
      </w:r>
    </w:p>
    <w:p w:rsidR="000D0EB4" w:rsidRDefault="000D0EB4" w:rsidP="00691119">
      <w:pPr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0E606C" w:rsidRPr="00421AAA" w:rsidRDefault="00B55B9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E606C">
        <w:rPr>
          <w:sz w:val="22"/>
          <w:szCs w:val="22"/>
        </w:rPr>
        <w:t>Šířka nově navržené komunikace umožní obousměrný provoz motorových vozidel</w:t>
      </w:r>
      <w:r w:rsidR="000E606C" w:rsidRPr="00421AAA">
        <w:rPr>
          <w:sz w:val="22"/>
          <w:szCs w:val="22"/>
        </w:rPr>
        <w:t>.</w:t>
      </w:r>
      <w:r w:rsidR="000E606C">
        <w:rPr>
          <w:sz w:val="22"/>
          <w:szCs w:val="22"/>
        </w:rPr>
        <w:t xml:space="preserve"> K místní komunikaci přiléhá oboustranný chodník šířky 1,5 m. V úseku ul. Vančurova  zůstane zachován jednosměrný provoz a bude umožněnou parkování vozidel po obou stranách komunikace.</w:t>
      </w:r>
    </w:p>
    <w:p w:rsidR="00B55B9C" w:rsidRDefault="000E606C" w:rsidP="000E606C">
      <w:pPr>
        <w:autoSpaceDE w:val="0"/>
        <w:autoSpaceDN w:val="0"/>
        <w:adjustRightInd w:val="0"/>
        <w:jc w:val="both"/>
        <w:rPr>
          <w:b/>
          <w:i/>
          <w:szCs w:val="36"/>
        </w:rPr>
      </w:pPr>
      <w:r w:rsidRPr="002C2CEA">
        <w:rPr>
          <w:szCs w:val="22"/>
        </w:rPr>
        <w:t>Rekonstruované  místní komunikace jsou již napojeny na stávající místní komunikace. Dopravní situace se nezmění.</w:t>
      </w:r>
    </w:p>
    <w:p w:rsidR="000E606C" w:rsidRPr="00421AAA" w:rsidRDefault="000E606C" w:rsidP="000E606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Jsou navržena podélná parkovací stání šířky 2,00 m (před školou - ul. Horova a v jednosměrném  úseku ul. Vančurova).</w:t>
      </w: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 nebo změna 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>Jedná se o rekonstrukci stávající místní komunikace, která je poškozena (zejména asfaltobetonový povrch</w:t>
      </w:r>
      <w:r w:rsidR="000E606C">
        <w:t>)</w:t>
      </w:r>
      <w: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szCs w:val="22"/>
        </w:rPr>
      </w:pPr>
      <w:r w:rsidRPr="00A24674">
        <w:rPr>
          <w:szCs w:val="22"/>
        </w:rPr>
        <w:t xml:space="preserve">Místní komunikace je veřejně přístupná komunikace určená pro dopravní obsluhu okolních nemovitostí. 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 zda a v jakých částech dokumentace jsou zohledněny 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f</w:t>
      </w:r>
      <w:r w:rsidRPr="00A24674">
        <w:rPr>
          <w:b/>
        </w:rPr>
        <w:t xml:space="preserve">) </w:t>
      </w:r>
      <w:r>
        <w:rPr>
          <w:b/>
        </w:rPr>
        <w:t>celkový popis koncepce řešené stavby včetně základních parametrů stavby</w:t>
      </w:r>
    </w:p>
    <w:p w:rsidR="000E606C" w:rsidRDefault="000E606C" w:rsidP="000E606C">
      <w:pPr>
        <w:jc w:val="both"/>
        <w:outlineLvl w:val="0"/>
      </w:pPr>
      <w:r>
        <w:t>Stavba bude sloužit stejnému účelu, jako místní komunikace zajišťující přístup k stávající zástavbě RD a bytových domů.</w:t>
      </w:r>
      <w:r w:rsidRPr="00CF7028">
        <w:tab/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2CEA">
        <w:rPr>
          <w:sz w:val="22"/>
          <w:szCs w:val="22"/>
        </w:rPr>
        <w:t xml:space="preserve"> Předpokládá se provoz osobní automobilové dopravy bydlících a průjezd nákladní automobilové dopravy do </w:t>
      </w:r>
      <w:r>
        <w:rPr>
          <w:sz w:val="22"/>
          <w:szCs w:val="22"/>
        </w:rPr>
        <w:t>100</w:t>
      </w:r>
      <w:r w:rsidRPr="002C2CEA">
        <w:rPr>
          <w:sz w:val="22"/>
          <w:szCs w:val="22"/>
        </w:rPr>
        <w:t xml:space="preserve"> vozidel za 24 hod.</w:t>
      </w:r>
      <w:r>
        <w:rPr>
          <w:sz w:val="22"/>
          <w:szCs w:val="22"/>
        </w:rPr>
        <w:t xml:space="preserve">  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Umístění místní komunikace, bude respektovat stávající  zástavbu z hlediska prostorového i výškového uspořádání. </w:t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V rámci rekonstrukce místní komunikace budou provedeny komunikace pro pěší a napojení na stávající pěší komunikace a vchody.</w:t>
      </w:r>
    </w:p>
    <w:p w:rsidR="0048404E" w:rsidRDefault="0048404E" w:rsidP="0048404E">
      <w:pPr>
        <w:pStyle w:val="Zhlav"/>
        <w:tabs>
          <w:tab w:val="clear" w:pos="4536"/>
          <w:tab w:val="clear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Šířkové parametry jsou dány původní šířkou komunikace a šířkou pozemku investora.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</w:p>
    <w:p w:rsidR="000E606C" w:rsidRDefault="000E606C" w:rsidP="0048404E">
      <w:pPr>
        <w:pStyle w:val="Zhlav"/>
        <w:tabs>
          <w:tab w:val="left" w:pos="708"/>
        </w:tabs>
        <w:rPr>
          <w:bCs/>
        </w:rPr>
      </w:pPr>
    </w:p>
    <w:p w:rsidR="000E606C" w:rsidRDefault="000E606C" w:rsidP="0048404E">
      <w:pPr>
        <w:pStyle w:val="Zhlav"/>
        <w:tabs>
          <w:tab w:val="left" w:pos="708"/>
        </w:tabs>
        <w:rPr>
          <w:bCs/>
        </w:rPr>
      </w:pP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Projektová dokumentace řeší </w:t>
      </w:r>
      <w:r>
        <w:rPr>
          <w:sz w:val="22"/>
          <w:szCs w:val="22"/>
        </w:rPr>
        <w:t>rekonstrukci  místní komunikace včetně chodníků a dešťových vpustí. Součástí je i rekonstrukce veřejného osvětlení. (Výměna sloupů VO I kabelizace).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606C" w:rsidRPr="00A529D9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Horova</w:t>
      </w:r>
      <w:r w:rsidRPr="00A529D9">
        <w:rPr>
          <w:sz w:val="22"/>
          <w:szCs w:val="22"/>
        </w:rPr>
        <w:t>:</w:t>
      </w:r>
    </w:p>
    <w:p w:rsidR="000E606C" w:rsidRPr="00604675" w:rsidRDefault="000E606C" w:rsidP="000E606C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 w:rsidRPr="00A529D9">
        <w:rPr>
          <w:sz w:val="22"/>
          <w:szCs w:val="22"/>
        </w:rPr>
        <w:t>2</w:t>
      </w:r>
      <w:r>
        <w:rPr>
          <w:sz w:val="22"/>
          <w:szCs w:val="22"/>
        </w:rPr>
        <w:t>26</w:t>
      </w:r>
      <w:r w:rsidRPr="00A529D9">
        <w:rPr>
          <w:sz w:val="22"/>
          <w:szCs w:val="22"/>
        </w:rPr>
        <w:t>,</w:t>
      </w:r>
      <w:r>
        <w:rPr>
          <w:sz w:val="22"/>
          <w:szCs w:val="22"/>
        </w:rPr>
        <w:t>33</w:t>
      </w:r>
      <w:r w:rsidRPr="00A529D9">
        <w:rPr>
          <w:sz w:val="22"/>
          <w:szCs w:val="22"/>
        </w:rPr>
        <w:t xml:space="preserve"> m.</w:t>
      </w:r>
      <w:r w:rsidRPr="00604675">
        <w:rPr>
          <w:sz w:val="22"/>
          <w:szCs w:val="22"/>
        </w:rPr>
        <w:t xml:space="preserve"> </w:t>
      </w:r>
    </w:p>
    <w:p w:rsidR="000E606C" w:rsidRDefault="000E606C" w:rsidP="000E606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6,00 m.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12,0 m a 502,0 m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3,67 %; 6,10%;4,81%; 5,67%; 7,86%</w:t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svažité</w:t>
      </w:r>
      <w:r w:rsidRPr="00604675">
        <w:rPr>
          <w:sz w:val="22"/>
          <w:szCs w:val="22"/>
        </w:rPr>
        <w:t xml:space="preserve">. </w:t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606C" w:rsidRPr="00A529D9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Vančurova</w:t>
      </w:r>
      <w:r w:rsidRPr="00A529D9">
        <w:rPr>
          <w:sz w:val="22"/>
          <w:szCs w:val="22"/>
        </w:rPr>
        <w:t>:</w:t>
      </w:r>
    </w:p>
    <w:p w:rsidR="000E606C" w:rsidRPr="00604675" w:rsidRDefault="000E606C" w:rsidP="000E606C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  <w:t>280,00m</w:t>
      </w:r>
      <w:r w:rsidRPr="00A529D9">
        <w:rPr>
          <w:sz w:val="22"/>
          <w:szCs w:val="22"/>
        </w:rPr>
        <w:t>.</w:t>
      </w:r>
      <w:r w:rsidRPr="00604675">
        <w:rPr>
          <w:sz w:val="22"/>
          <w:szCs w:val="22"/>
        </w:rPr>
        <w:t xml:space="preserve"> </w:t>
      </w:r>
    </w:p>
    <w:p w:rsidR="000E606C" w:rsidRDefault="000E606C" w:rsidP="000E606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5,50 m.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75,0 m; 200,0 m; 22,0 m; 24,0 m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0E606C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0,50 %; 0,87;3,27%; 7,46%; 7,86%, 3,56%</w:t>
      </w:r>
    </w:p>
    <w:p w:rsidR="000E606C" w:rsidRPr="00604675" w:rsidRDefault="000E606C" w:rsidP="000E60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rovinaté</w:t>
      </w:r>
      <w:r w:rsidRPr="00604675">
        <w:rPr>
          <w:sz w:val="22"/>
          <w:szCs w:val="22"/>
        </w:rPr>
        <w:t xml:space="preserve">. 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 trasou, dispozicí a rozsahem stávající místní komunikace</w:t>
      </w:r>
      <w:r w:rsidRPr="0048404E">
        <w:rPr>
          <w:sz w:val="28"/>
        </w:rPr>
        <w:t>.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 místní komunikace.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Křižovatky a křížení 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color w:val="000000" w:themeColor="text1"/>
        </w:rPr>
        <w:t>Komunikace se napojuje na stávající</w:t>
      </w:r>
      <w:r>
        <w:t xml:space="preserve"> </w:t>
      </w:r>
      <w:r w:rsidR="00DF2633">
        <w:t>místní komunikace</w:t>
      </w:r>
      <w:r>
        <w:rPr>
          <w:color w:val="000000" w:themeColor="text1"/>
        </w:rPr>
        <w:t>. Vzhledem k tomu, že trasování komunikací zůstává stejné, nedojde ani ke změnám v organizaci provozu dopravy.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 </w:t>
      </w:r>
      <w:r w:rsidR="007F4306">
        <w:rPr>
          <w:color w:val="000000" w:themeColor="text1"/>
        </w:rPr>
        <w:t>odkop a vybourání stávajících podkladních vrstev.</w:t>
      </w:r>
      <w:r>
        <w:rPr>
          <w:color w:val="000000" w:themeColor="text1"/>
        </w:rPr>
        <w:t xml:space="preserve">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48404E" w:rsidRDefault="007F4306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Odkop </w:t>
      </w:r>
      <w:r w:rsidR="0048404E">
        <w:rPr>
          <w:color w:val="000000" w:themeColor="text1"/>
        </w:rPr>
        <w:t xml:space="preserve">bude proveden na úroveň  nivelety zemní pláně.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místní komunikace.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 bilance stavby -  potřeby a spotřeby médií  a hmot, hospodaření s dešťovou vodou, celkové produkované množství a druhy odpadů a emisí.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lastRenderedPageBreak/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881097" w:rsidRPr="00B560C4" w:rsidRDefault="00881097" w:rsidP="00881097">
      <w:pPr>
        <w:autoSpaceDE w:val="0"/>
        <w:autoSpaceDN w:val="0"/>
        <w:adjustRightInd w:val="0"/>
        <w:jc w:val="both"/>
        <w:rPr>
          <w:highlight w:val="yellow"/>
        </w:rPr>
      </w:pPr>
      <w:r>
        <w:t xml:space="preserve">17 03 02  Asf.směsi neobsahující dehet (demolice povrch vozovek) </w:t>
      </w:r>
      <w:r w:rsidRPr="00A8189C">
        <w:t>cca     1122 t.</w:t>
      </w:r>
      <w:r w:rsidRPr="00B560C4">
        <w:rPr>
          <w:highlight w:val="yellow"/>
        </w:rPr>
        <w:t xml:space="preserve">  </w:t>
      </w:r>
    </w:p>
    <w:p w:rsidR="00881097" w:rsidRDefault="00881097" w:rsidP="00881097">
      <w:pPr>
        <w:autoSpaceDE w:val="0"/>
        <w:autoSpaceDN w:val="0"/>
        <w:adjustRightInd w:val="0"/>
        <w:jc w:val="both"/>
      </w:pPr>
      <w:r w:rsidRPr="00A8189C">
        <w:t xml:space="preserve">17 05 04  Zemina a kamení neobsahující nebezpečné látky               cca    </w:t>
      </w:r>
      <w:r w:rsidR="00BA5B89">
        <w:t>2512</w:t>
      </w:r>
      <w:r w:rsidRPr="00A8189C">
        <w:t xml:space="preserve"> t</w:t>
      </w:r>
      <w:r>
        <w:t xml:space="preserve">. </w:t>
      </w:r>
    </w:p>
    <w:p w:rsidR="00881097" w:rsidRDefault="00881097" w:rsidP="005779D0">
      <w:pPr>
        <w:autoSpaceDE w:val="0"/>
        <w:autoSpaceDN w:val="0"/>
        <w:adjustRightInd w:val="0"/>
        <w:jc w:val="both"/>
      </w:pPr>
      <w:r>
        <w:t xml:space="preserve">17 02 </w:t>
      </w:r>
      <w:r w:rsidR="00BA5B89">
        <w:t>03 Plasty</w:t>
      </w:r>
      <w:r w:rsidR="00BA5B89">
        <w:tab/>
      </w:r>
      <w:r w:rsidR="00BA5B89">
        <w:tab/>
      </w:r>
      <w:r w:rsidR="00BA5B89">
        <w:tab/>
      </w:r>
      <w:r w:rsidR="00BA5B89">
        <w:tab/>
      </w:r>
      <w:r w:rsidR="00BA5B89">
        <w:tab/>
      </w:r>
      <w:r w:rsidR="00BA5B89">
        <w:tab/>
      </w:r>
      <w:r w:rsidR="00BA5B89">
        <w:tab/>
        <w:t xml:space="preserve">   cca</w:t>
      </w:r>
      <w:r w:rsidR="00BA5B89">
        <w:tab/>
        <w:t xml:space="preserve">  0,05 t</w:t>
      </w:r>
    </w:p>
    <w:p w:rsidR="00BA5B89" w:rsidRDefault="00BA5B89" w:rsidP="005779D0">
      <w:pPr>
        <w:autoSpaceDE w:val="0"/>
        <w:autoSpaceDN w:val="0"/>
        <w:adjustRightInd w:val="0"/>
        <w:jc w:val="both"/>
      </w:pPr>
      <w:r>
        <w:t>17 04 05 Železo a ocel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cca</w:t>
      </w:r>
      <w:r>
        <w:tab/>
        <w:t xml:space="preserve">    2,8 t</w:t>
      </w:r>
    </w:p>
    <w:p w:rsidR="00BA5B89" w:rsidRDefault="00BA5B89" w:rsidP="005779D0">
      <w:pPr>
        <w:autoSpaceDE w:val="0"/>
        <w:autoSpaceDN w:val="0"/>
        <w:adjustRightInd w:val="0"/>
        <w:jc w:val="both"/>
      </w:pPr>
      <w:r>
        <w:t>17 01 01 Beton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cca</w:t>
      </w:r>
      <w:r>
        <w:tab/>
        <w:t xml:space="preserve"> 1650 t</w:t>
      </w:r>
    </w:p>
    <w:p w:rsidR="00116FC8" w:rsidRDefault="00116FC8" w:rsidP="005779D0">
      <w:pPr>
        <w:autoSpaceDE w:val="0"/>
        <w:autoSpaceDN w:val="0"/>
        <w:adjustRightInd w:val="0"/>
        <w:jc w:val="both"/>
      </w:pPr>
      <w:r>
        <w:t xml:space="preserve">(Betonová suť bude předrcena a použita na stavbě do podkladní vrstvy komunikace – betonový recyklát 0/63.) </w:t>
      </w:r>
    </w:p>
    <w:p w:rsidR="00116FC8" w:rsidRDefault="00116FC8" w:rsidP="005779D0">
      <w:pPr>
        <w:autoSpaceDE w:val="0"/>
        <w:autoSpaceDN w:val="0"/>
        <w:adjustRightInd w:val="0"/>
        <w:jc w:val="both"/>
      </w:pP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 nepropustných ploch  možno provést 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DF2633">
        <w:t xml:space="preserve">6 </w:t>
      </w:r>
      <w:r>
        <w:t>měsíc</w:t>
      </w:r>
      <w:r w:rsidR="00DF2633">
        <w:t>ů</w:t>
      </w:r>
      <w:r>
        <w:t>. Stavba bude prováděna v</w:t>
      </w:r>
      <w:r w:rsidR="00DF2633">
        <w:t>e dvou</w:t>
      </w:r>
      <w:r>
        <w:t xml:space="preserve"> etap</w:t>
      </w:r>
      <w:r w:rsidR="00DF2633">
        <w:t>ách</w:t>
      </w:r>
      <w:r>
        <w:t>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 xml:space="preserve">- </w:t>
      </w:r>
      <w:r w:rsidR="00DF2633">
        <w:t>po dokončení I. Etapy  bude zažádáno o předčasné užívání do doby dokončení II. Etapy.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881097" w:rsidP="005C6DAD">
      <w:r w:rsidRPr="00881097">
        <w:t>1</w:t>
      </w:r>
      <w:r>
        <w:t>6</w:t>
      </w:r>
      <w:r w:rsidR="007F4306" w:rsidRPr="00881097">
        <w:t xml:space="preserve"> 0</w:t>
      </w:r>
      <w:r w:rsidR="005C6DAD" w:rsidRPr="00881097">
        <w:t>00 000</w:t>
      </w:r>
      <w:r w:rsidR="005C6DAD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Umístění místní komunikace, bude respektovat stávající  zástavbu z hlediska prostorového i výškového uspořádání. </w:t>
      </w:r>
    </w:p>
    <w:p w:rsidR="00DF2633" w:rsidRPr="00604675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V rámci rekonstrukce místní komunikace budou provedeny komunikace pro pěší a napojení na stávající pěší komunikace a vchody.</w:t>
      </w:r>
    </w:p>
    <w:p w:rsidR="00051880" w:rsidRDefault="00D46A45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Místní komunikace je navržena z asfaltobetonu. Okraje jsou ukončeny obrubou silniční. Vozovka má </w:t>
      </w:r>
      <w:r w:rsidR="00DF2633">
        <w:rPr>
          <w:sz w:val="22"/>
          <w:szCs w:val="22"/>
        </w:rPr>
        <w:t>obou</w:t>
      </w:r>
      <w:r>
        <w:rPr>
          <w:sz w:val="22"/>
          <w:szCs w:val="22"/>
        </w:rPr>
        <w:t>stranný sklon. Hrana obruby mezi vozovkou a chodníkem je převýšena o</w:t>
      </w:r>
      <w:r w:rsidR="00DF2633">
        <w:rPr>
          <w:sz w:val="22"/>
          <w:szCs w:val="22"/>
        </w:rPr>
        <w:t>1</w:t>
      </w:r>
      <w:r>
        <w:rPr>
          <w:sz w:val="22"/>
          <w:szCs w:val="22"/>
        </w:rPr>
        <w:t xml:space="preserve">2 cm.. </w:t>
      </w:r>
    </w:p>
    <w:p w:rsidR="00051880" w:rsidRPr="00620AF3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20AF3">
        <w:rPr>
          <w:sz w:val="22"/>
          <w:szCs w:val="22"/>
        </w:rPr>
        <w:t xml:space="preserve">Umístění </w:t>
      </w:r>
      <w:r w:rsidR="00620AF3" w:rsidRPr="00620AF3">
        <w:rPr>
          <w:sz w:val="22"/>
          <w:szCs w:val="22"/>
        </w:rPr>
        <w:t>komunikací</w:t>
      </w:r>
      <w:r w:rsidRPr="00620AF3">
        <w:rPr>
          <w:sz w:val="22"/>
          <w:szCs w:val="22"/>
        </w:rPr>
        <w:t xml:space="preserve">, bude respektovat stávající </w:t>
      </w:r>
      <w:r w:rsidR="002A1459">
        <w:rPr>
          <w:sz w:val="22"/>
          <w:szCs w:val="22"/>
        </w:rPr>
        <w:t>z</w:t>
      </w:r>
      <w:r w:rsidRPr="00620AF3">
        <w:rPr>
          <w:sz w:val="22"/>
          <w:szCs w:val="22"/>
        </w:rPr>
        <w:t xml:space="preserve">ástavbu z hlediska prostorového i výškového uspořádání. 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20AF3">
        <w:rPr>
          <w:sz w:val="22"/>
          <w:szCs w:val="22"/>
        </w:rPr>
        <w:tab/>
        <w:t xml:space="preserve">V rámci </w:t>
      </w:r>
      <w:r w:rsidR="00113620">
        <w:rPr>
          <w:sz w:val="22"/>
          <w:szCs w:val="22"/>
        </w:rPr>
        <w:t>rekonstrukce</w:t>
      </w:r>
      <w:r w:rsidRPr="00620AF3">
        <w:rPr>
          <w:sz w:val="22"/>
          <w:szCs w:val="22"/>
        </w:rPr>
        <w:t xml:space="preserve"> místní komunikace budou provedeny komunikace pro pěší a napojení na stávající místní komunikace a objekty.</w:t>
      </w:r>
      <w:r w:rsidR="007F4306">
        <w:rPr>
          <w:sz w:val="22"/>
          <w:szCs w:val="22"/>
        </w:rPr>
        <w:t xml:space="preserve"> </w:t>
      </w:r>
      <w:r w:rsidR="00113620">
        <w:rPr>
          <w:sz w:val="22"/>
          <w:szCs w:val="22"/>
        </w:rPr>
        <w:t>Pěší komunikace je navržena z betonové dlažby šedé barvy.</w:t>
      </w:r>
    </w:p>
    <w:p w:rsidR="007F4306" w:rsidRDefault="007F4306" w:rsidP="00051880">
      <w:pPr>
        <w:tabs>
          <w:tab w:val="left" w:pos="1530"/>
        </w:tabs>
        <w:autoSpaceDE w:val="0"/>
        <w:autoSpaceDN w:val="0"/>
        <w:adjustRightInd w:val="0"/>
        <w:jc w:val="both"/>
        <w:rPr>
          <w:b/>
          <w:bCs/>
        </w:rPr>
      </w:pPr>
    </w:p>
    <w:p w:rsidR="00051880" w:rsidRPr="00604675" w:rsidRDefault="00051880" w:rsidP="00051880">
      <w:pPr>
        <w:tabs>
          <w:tab w:val="left" w:pos="153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48404E" w:rsidRDefault="004A0852" w:rsidP="004A0852">
      <w:pPr>
        <w:autoSpaceDE w:val="0"/>
        <w:autoSpaceDN w:val="0"/>
        <w:adjustRightInd w:val="0"/>
        <w:jc w:val="both"/>
        <w:rPr>
          <w:szCs w:val="22"/>
        </w:rPr>
      </w:pPr>
      <w:r w:rsidRPr="004D1329">
        <w:rPr>
          <w:szCs w:val="22"/>
        </w:rPr>
        <w:t xml:space="preserve">Konstrukce vozovky místní komunikace je navržena  dle katalogu TP 170 pro zatížení  </w:t>
      </w:r>
      <w:r w:rsidR="004D1329" w:rsidRPr="0048404E">
        <w:rPr>
          <w:szCs w:val="22"/>
        </w:rPr>
        <w:t xml:space="preserve">se </w:t>
      </w:r>
      <w:r w:rsidR="004D1329">
        <w:rPr>
          <w:szCs w:val="22"/>
        </w:rPr>
        <w:t>p</w:t>
      </w:r>
      <w:r w:rsidRPr="0048404E">
        <w:rPr>
          <w:szCs w:val="22"/>
        </w:rPr>
        <w:t>ředpokládá provoz osobní automobilové dopravy bydlících a průjezd nákladní automobilové dopravy max. do 1</w:t>
      </w:r>
      <w:r w:rsidR="00DF2633">
        <w:rPr>
          <w:szCs w:val="22"/>
        </w:rPr>
        <w:t xml:space="preserve">00 </w:t>
      </w:r>
      <w:r w:rsidRPr="0048404E">
        <w:rPr>
          <w:szCs w:val="22"/>
        </w:rPr>
        <w:t xml:space="preserve">vozidel za 24 hod (odvoz odpadu, zásobování RD). </w:t>
      </w:r>
      <w:r w:rsidR="004D1329">
        <w:rPr>
          <w:szCs w:val="22"/>
        </w:rPr>
        <w:t>Objekt  místní komunikace nevyžaduje spotřebu energié, tepla ani teplé vody, či studené vody. Provozem místní komunikace nevzniká žádný druh odpadu. Místní komunikace nevyžaduje připojení na elektronická komunikační napojení.</w:t>
      </w:r>
    </w:p>
    <w:p w:rsidR="00620AF3" w:rsidRPr="00604675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20AF3" w:rsidRDefault="00620AF3" w:rsidP="00D46A45">
      <w:pPr>
        <w:rPr>
          <w:b/>
          <w:i/>
          <w:szCs w:val="36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osobami s omezenou schopností pohybu a orientace“. Komunikace je navržena v</w:t>
      </w:r>
      <w:r>
        <w:rPr>
          <w:sz w:val="22"/>
          <w:szCs w:val="22"/>
        </w:rPr>
        <w:t> </w:t>
      </w:r>
      <w:r w:rsidRPr="00421AAA">
        <w:rPr>
          <w:sz w:val="22"/>
          <w:szCs w:val="22"/>
        </w:rPr>
        <w:t>podélném</w:t>
      </w:r>
      <w:r>
        <w:rPr>
          <w:sz w:val="22"/>
          <w:szCs w:val="22"/>
        </w:rPr>
        <w:t xml:space="preserve"> sklonu max. do </w:t>
      </w:r>
      <w:r w:rsidRPr="00421AAA">
        <w:rPr>
          <w:sz w:val="22"/>
          <w:szCs w:val="22"/>
        </w:rPr>
        <w:t>8,33%.</w:t>
      </w:r>
      <w:r>
        <w:rPr>
          <w:sz w:val="22"/>
          <w:szCs w:val="22"/>
        </w:rPr>
        <w:t>Místa pro přecházení budou dle požadavku</w:t>
      </w:r>
      <w:r w:rsidRPr="00421AAA">
        <w:rPr>
          <w:sz w:val="22"/>
          <w:szCs w:val="22"/>
        </w:rPr>
        <w:t xml:space="preserve">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</w:t>
      </w:r>
      <w:r>
        <w:rPr>
          <w:sz w:val="22"/>
          <w:szCs w:val="22"/>
        </w:rPr>
        <w:t>. Šířka chodníků je min 1,5m.</w:t>
      </w:r>
    </w:p>
    <w:p w:rsidR="00051880" w:rsidRDefault="00051880" w:rsidP="000B3388"/>
    <w:p w:rsidR="00116FC8" w:rsidRDefault="00116FC8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Místní komunikace bude</w:t>
      </w:r>
      <w:r w:rsidRPr="00421AAA">
        <w:rPr>
          <w:sz w:val="22"/>
          <w:szCs w:val="22"/>
        </w:rPr>
        <w:t xml:space="preserve"> provozován</w:t>
      </w:r>
      <w:r>
        <w:rPr>
          <w:sz w:val="22"/>
          <w:szCs w:val="22"/>
        </w:rPr>
        <w:t>a</w:t>
      </w:r>
      <w:r w:rsidRPr="00421AAA">
        <w:rPr>
          <w:sz w:val="22"/>
          <w:szCs w:val="22"/>
        </w:rPr>
        <w:t xml:space="preserve"> jako dopravní stavba. Provoz na </w:t>
      </w:r>
      <w:r>
        <w:rPr>
          <w:sz w:val="22"/>
          <w:szCs w:val="22"/>
        </w:rPr>
        <w:t>komunikaci</w:t>
      </w:r>
      <w:r w:rsidRPr="00421AAA">
        <w:rPr>
          <w:sz w:val="22"/>
          <w:szCs w:val="22"/>
        </w:rPr>
        <w:t xml:space="preserve"> je řešen silničním zákonem, zákonem o provozu</w:t>
      </w:r>
      <w:r>
        <w:rPr>
          <w:sz w:val="22"/>
          <w:szCs w:val="22"/>
        </w:rPr>
        <w:t xml:space="preserve"> na</w:t>
      </w:r>
      <w:r w:rsidRPr="00421AAA">
        <w:rPr>
          <w:sz w:val="22"/>
          <w:szCs w:val="22"/>
        </w:rPr>
        <w:t xml:space="preserve">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116FC8" w:rsidRDefault="00116FC8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Projektová dokumentace řeší </w:t>
      </w:r>
      <w:r>
        <w:rPr>
          <w:sz w:val="22"/>
          <w:szCs w:val="22"/>
        </w:rPr>
        <w:t>rekonstrukci  místní komunikace včetně chodníků a dešťových vpustí. Součástí je i rekonstrukce veřejného osvětlení. (Výměna sloupů VO I kabelizace).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633" w:rsidRPr="00A529D9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Horova</w:t>
      </w:r>
      <w:r w:rsidRPr="00A529D9">
        <w:rPr>
          <w:sz w:val="22"/>
          <w:szCs w:val="22"/>
        </w:rPr>
        <w:t>:</w:t>
      </w:r>
    </w:p>
    <w:p w:rsidR="00DF2633" w:rsidRPr="00604675" w:rsidRDefault="00DF2633" w:rsidP="00DF2633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 w:rsidRPr="00A529D9">
        <w:rPr>
          <w:sz w:val="22"/>
          <w:szCs w:val="22"/>
        </w:rPr>
        <w:t>2</w:t>
      </w:r>
      <w:r>
        <w:rPr>
          <w:sz w:val="22"/>
          <w:szCs w:val="22"/>
        </w:rPr>
        <w:t>26</w:t>
      </w:r>
      <w:r w:rsidRPr="00A529D9">
        <w:rPr>
          <w:sz w:val="22"/>
          <w:szCs w:val="22"/>
        </w:rPr>
        <w:t>,</w:t>
      </w:r>
      <w:r>
        <w:rPr>
          <w:sz w:val="22"/>
          <w:szCs w:val="22"/>
        </w:rPr>
        <w:t>33</w:t>
      </w:r>
      <w:r w:rsidRPr="00A529D9">
        <w:rPr>
          <w:sz w:val="22"/>
          <w:szCs w:val="22"/>
        </w:rPr>
        <w:t xml:space="preserve"> m.</w:t>
      </w:r>
      <w:r w:rsidRPr="00604675">
        <w:rPr>
          <w:sz w:val="22"/>
          <w:szCs w:val="22"/>
        </w:rPr>
        <w:t xml:space="preserve"> </w:t>
      </w:r>
    </w:p>
    <w:p w:rsidR="00DF2633" w:rsidRDefault="00DF2633" w:rsidP="00DF263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6,00 m.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12,0 m a 502,0 m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3,67 %; 6,10%;4,81%; 5,67%; 7,86%</w:t>
      </w:r>
    </w:p>
    <w:p w:rsidR="00DF2633" w:rsidRPr="00604675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svažité</w:t>
      </w:r>
      <w:r w:rsidRPr="00604675">
        <w:rPr>
          <w:sz w:val="22"/>
          <w:szCs w:val="22"/>
        </w:rPr>
        <w:t xml:space="preserve">. </w:t>
      </w:r>
    </w:p>
    <w:p w:rsidR="00DF2633" w:rsidRPr="00604675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633" w:rsidRPr="00A529D9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Vančurova</w:t>
      </w:r>
      <w:r w:rsidRPr="00A529D9">
        <w:rPr>
          <w:sz w:val="22"/>
          <w:szCs w:val="22"/>
        </w:rPr>
        <w:t>:</w:t>
      </w:r>
    </w:p>
    <w:p w:rsidR="00DF2633" w:rsidRPr="00604675" w:rsidRDefault="00DF2633" w:rsidP="00DF2633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  <w:t>280,00m</w:t>
      </w:r>
      <w:r w:rsidRPr="00A529D9">
        <w:rPr>
          <w:sz w:val="22"/>
          <w:szCs w:val="22"/>
        </w:rPr>
        <w:t>.</w:t>
      </w:r>
      <w:r w:rsidRPr="00604675">
        <w:rPr>
          <w:sz w:val="22"/>
          <w:szCs w:val="22"/>
        </w:rPr>
        <w:t xml:space="preserve"> </w:t>
      </w:r>
    </w:p>
    <w:p w:rsidR="00DF2633" w:rsidRDefault="00DF2633" w:rsidP="00DF263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5,50 m.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75,0 m; 200,0 m; 22,0 m; 24,0 m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0,50 %; 0,87;3,27%; 7,46%; 7,86%, 3,56%</w:t>
      </w:r>
    </w:p>
    <w:p w:rsidR="00DF2633" w:rsidRPr="00604675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rovinaté</w:t>
      </w:r>
      <w:r w:rsidRPr="00604675">
        <w:rPr>
          <w:sz w:val="22"/>
          <w:szCs w:val="22"/>
        </w:rPr>
        <w:t xml:space="preserve">. </w:t>
      </w:r>
    </w:p>
    <w:p w:rsidR="00DF2633" w:rsidRDefault="00DF2633" w:rsidP="00DF2633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116FC8" w:rsidRDefault="00116FC8" w:rsidP="00DF2633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116FC8" w:rsidRPr="002C2CEA" w:rsidRDefault="00116FC8" w:rsidP="00DF2633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DF2633" w:rsidRPr="007528E9" w:rsidRDefault="00DF2633" w:rsidP="00DF26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528E9">
        <w:rPr>
          <w:b/>
          <w:bCs/>
        </w:rPr>
        <w:lastRenderedPageBreak/>
        <w:t>C1</w:t>
      </w:r>
      <w:r>
        <w:rPr>
          <w:b/>
          <w:bCs/>
        </w:rPr>
        <w:t>2</w:t>
      </w:r>
      <w:r w:rsidRPr="007528E9">
        <w:rPr>
          <w:b/>
          <w:bCs/>
        </w:rPr>
        <w:t xml:space="preserve">1 – </w:t>
      </w:r>
      <w:r>
        <w:rPr>
          <w:b/>
          <w:bCs/>
        </w:rPr>
        <w:t>Místní komunikace</w:t>
      </w:r>
    </w:p>
    <w:p w:rsidR="00DF2633" w:rsidRDefault="00DF2633" w:rsidP="00DF2633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DF2633" w:rsidRPr="00CB68AF" w:rsidRDefault="00DF2633" w:rsidP="00DF2633">
      <w:pPr>
        <w:jc w:val="both"/>
        <w:outlineLvl w:val="0"/>
      </w:pPr>
      <w:bookmarkStart w:id="1" w:name="_Toc204996564"/>
      <w:r w:rsidRPr="00CB68AF">
        <w:t>Navržená konstrukce je:</w:t>
      </w: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Toc204996567"/>
      <w:bookmarkEnd w:id="1"/>
      <w:r w:rsidRPr="00CB68AF">
        <w:rPr>
          <w:sz w:val="22"/>
          <w:szCs w:val="22"/>
        </w:rPr>
        <w:t xml:space="preserve">asfaltový beton středně-zrnný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 xml:space="preserve">ACO 11+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50   mm</w:t>
      </w: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CB68AF">
        <w:rPr>
          <w:sz w:val="22"/>
          <w:szCs w:val="22"/>
        </w:rPr>
        <w:t xml:space="preserve">spojovací postřik z asfaltové emulze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PS:EK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0,5  kg/m</w:t>
      </w:r>
      <w:r w:rsidRPr="00CB68AF">
        <w:rPr>
          <w:sz w:val="9"/>
          <w:szCs w:val="9"/>
        </w:rPr>
        <w:t>2</w:t>
      </w: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68AF">
        <w:rPr>
          <w:sz w:val="22"/>
          <w:szCs w:val="22"/>
        </w:rPr>
        <w:t xml:space="preserve">asfaltový beton hrubozrnný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ACL 16+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  mm</w:t>
      </w: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CB68AF">
        <w:rPr>
          <w:sz w:val="22"/>
          <w:szCs w:val="22"/>
        </w:rPr>
        <w:t xml:space="preserve">spojovací postřik z asfaltové emulze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PS:EK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0,5  kg/m</w:t>
      </w:r>
      <w:r w:rsidRPr="00CB68AF">
        <w:rPr>
          <w:sz w:val="9"/>
          <w:szCs w:val="9"/>
        </w:rPr>
        <w:t>2</w:t>
      </w:r>
    </w:p>
    <w:p w:rsidR="00DF2633" w:rsidRPr="00CB68AF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68AF">
        <w:rPr>
          <w:sz w:val="22"/>
          <w:szCs w:val="22"/>
        </w:rPr>
        <w:t xml:space="preserve">asfaltový beton hrubozrnný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AC</w:t>
      </w:r>
      <w:r>
        <w:rPr>
          <w:sz w:val="22"/>
          <w:szCs w:val="22"/>
        </w:rPr>
        <w:t>P</w:t>
      </w:r>
      <w:r w:rsidRPr="00CB68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16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  mm</w:t>
      </w:r>
    </w:p>
    <w:p w:rsidR="00DF2633" w:rsidRPr="00CB68AF" w:rsidRDefault="00DF2633" w:rsidP="00DF2633">
      <w:pPr>
        <w:jc w:val="both"/>
        <w:outlineLvl w:val="0"/>
        <w:rPr>
          <w:sz w:val="22"/>
          <w:szCs w:val="22"/>
        </w:rPr>
      </w:pPr>
      <w:r w:rsidRPr="00CB68AF">
        <w:rPr>
          <w:sz w:val="22"/>
          <w:szCs w:val="22"/>
        </w:rPr>
        <w:t>štěrkodrť (0/63)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ŠD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1</w:t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mm</w:t>
      </w:r>
    </w:p>
    <w:p w:rsidR="00DF2633" w:rsidRPr="00CB68AF" w:rsidRDefault="00116FC8" w:rsidP="00DF2633">
      <w:pPr>
        <w:jc w:val="both"/>
        <w:outlineLvl w:val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betonový recyklát</w:t>
      </w:r>
      <w:r w:rsidR="00DF2633" w:rsidRPr="00CB68AF">
        <w:rPr>
          <w:sz w:val="22"/>
          <w:szCs w:val="22"/>
          <w:u w:val="single"/>
        </w:rPr>
        <w:t xml:space="preserve"> (0/</w:t>
      </w:r>
      <w:r>
        <w:rPr>
          <w:sz w:val="22"/>
          <w:szCs w:val="22"/>
          <w:u w:val="single"/>
        </w:rPr>
        <w:t>63</w:t>
      </w:r>
      <w:r w:rsidR="00DF2633" w:rsidRPr="00CB68AF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b- recyklát</w:t>
      </w:r>
      <w:r w:rsidR="00DF2633" w:rsidRPr="00CB68AF">
        <w:rPr>
          <w:sz w:val="22"/>
          <w:szCs w:val="22"/>
          <w:u w:val="single"/>
        </w:rPr>
        <w:tab/>
      </w:r>
      <w:r w:rsidR="00DF2633" w:rsidRPr="00CB68AF">
        <w:rPr>
          <w:sz w:val="22"/>
          <w:szCs w:val="22"/>
          <w:u w:val="single"/>
        </w:rPr>
        <w:tab/>
      </w:r>
      <w:r w:rsidR="00DF2633">
        <w:rPr>
          <w:sz w:val="22"/>
          <w:szCs w:val="22"/>
          <w:u w:val="single"/>
        </w:rPr>
        <w:t>15</w:t>
      </w:r>
      <w:r w:rsidR="00DF2633" w:rsidRPr="00CB68AF">
        <w:rPr>
          <w:sz w:val="22"/>
          <w:szCs w:val="22"/>
          <w:u w:val="single"/>
        </w:rPr>
        <w:t>0 mm</w:t>
      </w:r>
    </w:p>
    <w:p w:rsidR="00DF2633" w:rsidRPr="00CB68AF" w:rsidRDefault="00DF2633" w:rsidP="00DF2633">
      <w:pPr>
        <w:jc w:val="both"/>
        <w:outlineLvl w:val="0"/>
      </w:pPr>
      <w:r w:rsidRPr="00CB68AF">
        <w:rPr>
          <w:sz w:val="22"/>
          <w:szCs w:val="22"/>
        </w:rPr>
        <w:t xml:space="preserve">celkem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min.</w:t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45</w:t>
      </w:r>
      <w:r w:rsidRPr="00CB68AF">
        <w:rPr>
          <w:sz w:val="22"/>
          <w:szCs w:val="22"/>
        </w:rPr>
        <w:t>0 mm</w:t>
      </w:r>
    </w:p>
    <w:p w:rsidR="00DF2633" w:rsidRDefault="00DF2633" w:rsidP="00DF2633">
      <w:pPr>
        <w:jc w:val="both"/>
        <w:outlineLvl w:val="0"/>
      </w:pPr>
    </w:p>
    <w:p w:rsidR="00DF2633" w:rsidRPr="00EC2CC8" w:rsidRDefault="00DF2633" w:rsidP="00DF2633">
      <w:pPr>
        <w:jc w:val="both"/>
        <w:outlineLvl w:val="0"/>
      </w:pPr>
      <w:r>
        <w:t xml:space="preserve">Pro zajištění odtoku dešťové vody budou osazeny silniční obruby, a uliční dešťové vpusti připojené na dešťovou kanalizaci. V místech vjezdů budou osazeny snížené obruby.  </w:t>
      </w:r>
    </w:p>
    <w:bookmarkEnd w:id="2"/>
    <w:p w:rsidR="00DF2633" w:rsidRDefault="00DF2633" w:rsidP="00DF26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F2633" w:rsidRDefault="00DF2633" w:rsidP="00DF26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F2633" w:rsidRDefault="00DF2633" w:rsidP="00DF2633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V rámci rekonstrukce bude provedena oprava povrchu příjezdu k RD z ul. Vančurova.</w:t>
      </w:r>
    </w:p>
    <w:p w:rsidR="00DF2633" w:rsidRPr="00D8670F" w:rsidRDefault="00DF2633" w:rsidP="00DF2633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Je navrženo osazení obrubníků silničních a provedení vrstvy penetračního makadamu jemného PMJ  v tl. 40 mm včetně dvojitého nátěru s podrcením.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DF2633" w:rsidRDefault="00DF2633" w:rsidP="00DF2633">
      <w:pPr>
        <w:autoSpaceDE w:val="0"/>
        <w:autoSpaceDN w:val="0"/>
        <w:adjustRightInd w:val="0"/>
        <w:jc w:val="both"/>
        <w:rPr>
          <w:bCs/>
        </w:rPr>
      </w:pPr>
      <w:r w:rsidRPr="00895E83">
        <w:rPr>
          <w:bCs/>
        </w:rPr>
        <w:t>V</w:t>
      </w:r>
      <w:r>
        <w:rPr>
          <w:bCs/>
        </w:rPr>
        <w:t> </w:t>
      </w:r>
      <w:r w:rsidRPr="00895E83">
        <w:rPr>
          <w:bCs/>
        </w:rPr>
        <w:t>případě</w:t>
      </w:r>
      <w:r>
        <w:rPr>
          <w:bCs/>
        </w:rPr>
        <w:t xml:space="preserve"> výskytu neúnosného podloží bude provedena sanace aktivní zóny v tl.0,30 m vrstvou ŠD. </w:t>
      </w:r>
    </w:p>
    <w:p w:rsidR="00DF2633" w:rsidRPr="00120D5A" w:rsidRDefault="00DF2633" w:rsidP="00DF2633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DF2633" w:rsidRPr="00EC2CC8" w:rsidRDefault="00DF2633" w:rsidP="00DF26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C2CC8">
        <w:rPr>
          <w:b/>
          <w:bCs/>
        </w:rPr>
        <w:t>C12</w:t>
      </w:r>
      <w:r>
        <w:rPr>
          <w:b/>
          <w:bCs/>
        </w:rPr>
        <w:t>2</w:t>
      </w:r>
      <w:r w:rsidRPr="00EC2CC8">
        <w:rPr>
          <w:b/>
          <w:bCs/>
        </w:rPr>
        <w:t xml:space="preserve"> – Pěší komunikace a sjezdy</w:t>
      </w:r>
    </w:p>
    <w:p w:rsidR="00D83075" w:rsidRPr="00D83075" w:rsidRDefault="00D83075" w:rsidP="00D83075">
      <w:pPr>
        <w:pStyle w:val="Odstavecseseznamem"/>
        <w:ind w:left="0"/>
        <w:jc w:val="both"/>
        <w:outlineLvl w:val="0"/>
        <w:rPr>
          <w:highlight w:val="yellow"/>
        </w:rPr>
      </w:pPr>
      <w:r w:rsidRPr="00C54A56">
        <w:t xml:space="preserve">Podél trasy je navržena dlážděná komunikace pro pěší v šířce 1,50 m. </w:t>
      </w:r>
    </w:p>
    <w:p w:rsidR="00DF2633" w:rsidRDefault="00D83075" w:rsidP="00D83075">
      <w:pPr>
        <w:autoSpaceDE w:val="0"/>
        <w:autoSpaceDN w:val="0"/>
        <w:adjustRightInd w:val="0"/>
        <w:jc w:val="both"/>
        <w:rPr>
          <w:bCs/>
        </w:rPr>
      </w:pPr>
      <w:r w:rsidRPr="00C54A56">
        <w:rPr>
          <w:bCs/>
        </w:rPr>
        <w:t xml:space="preserve">Povrch pěší komunikace je navržen z betonové dlažby </w:t>
      </w:r>
      <w:r w:rsidRPr="00C54A56">
        <w:rPr>
          <w:bCs/>
          <w:noProof/>
        </w:rPr>
        <w:drawing>
          <wp:inline distT="0" distB="0" distL="0" distR="0">
            <wp:extent cx="415069" cy="415069"/>
            <wp:effectExtent l="19050" t="0" r="4031" b="0"/>
            <wp:docPr id="3" name="Obrázek 3" descr="80X80__klas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asik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19" cy="41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4A56">
        <w:rPr>
          <w:bCs/>
        </w:rPr>
        <w:t xml:space="preserve"> šedé tl. 6 cm do lože z drti. Podkladní vrstva bude tvořena vrstvou štěrkodrti. Odvodnění pěší komunikace bude zajištěno příčným sklonem směrem k vozovce. V místě styku pěší komunikace s místní komunikací bude osazen silniční obrubník s převýšením 12 cm. Dále bude proveden varovný pás šířky 0,4 m z reliéfní dlažby </w:t>
      </w:r>
      <w:r w:rsidRPr="00C54A56">
        <w:rPr>
          <w:bCs/>
          <w:noProof/>
        </w:rPr>
        <w:drawing>
          <wp:inline distT="0" distB="0" distL="0" distR="0">
            <wp:extent cx="405213" cy="405213"/>
            <wp:effectExtent l="19050" t="0" r="0" b="0"/>
            <wp:docPr id="4" name="Obrázek 4" descr="80X80__klsiko-pro-nevid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siko-pro-nevido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50" cy="40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4A56">
        <w:rPr>
          <w:bCs/>
        </w:rPr>
        <w:t xml:space="preserve"> pro nevidomé. Šířka chodníku bude min. 1,50 m. Navržený příčný sklon je 2, %.</w:t>
      </w:r>
    </w:p>
    <w:p w:rsidR="00DF2633" w:rsidRPr="006531D4" w:rsidRDefault="00DF2633" w:rsidP="00DF2633">
      <w:pPr>
        <w:jc w:val="both"/>
        <w:outlineLvl w:val="0"/>
      </w:pPr>
      <w:r w:rsidRPr="006531D4">
        <w:t>Navržená konstrukce je:</w:t>
      </w:r>
    </w:p>
    <w:p w:rsidR="00DF2633" w:rsidRPr="00124E7D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DF2633" w:rsidRPr="00C618ED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6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DF2633" w:rsidRPr="00C618ED" w:rsidRDefault="00DF2633" w:rsidP="00DF2633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DF2633" w:rsidRPr="00213D74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DF2633" w:rsidRPr="00C618ED" w:rsidRDefault="00DF2633" w:rsidP="00DF2633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250</w:t>
      </w:r>
      <w:r w:rsidRPr="00C618ED">
        <w:rPr>
          <w:sz w:val="22"/>
          <w:szCs w:val="22"/>
        </w:rPr>
        <w:t xml:space="preserve"> mm</w:t>
      </w:r>
    </w:p>
    <w:p w:rsidR="00DF2633" w:rsidRPr="00124E7D" w:rsidRDefault="00DF2633" w:rsidP="00DF2633">
      <w:pPr>
        <w:jc w:val="both"/>
        <w:outlineLvl w:val="0"/>
        <w:rPr>
          <w:highlight w:val="yellow"/>
        </w:rPr>
      </w:pPr>
    </w:p>
    <w:p w:rsidR="00DF2633" w:rsidRPr="00EC2CC8" w:rsidRDefault="00DF2633" w:rsidP="00DF263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Sjezdy  rozšíření pro parkovací podélná stání </w:t>
      </w:r>
      <w:r w:rsidRPr="00EC2CC8">
        <w:rPr>
          <w:bCs/>
        </w:rPr>
        <w:t xml:space="preserve">budou provedeny </w:t>
      </w:r>
      <w:r>
        <w:rPr>
          <w:bCs/>
        </w:rPr>
        <w:t>z betonové dlažby tl. 80 mm do lože z drti (4/8)</w:t>
      </w:r>
    </w:p>
    <w:p w:rsidR="00DF2633" w:rsidRPr="00EC2CC8" w:rsidRDefault="00DF2633" w:rsidP="00DF2633">
      <w:pPr>
        <w:autoSpaceDE w:val="0"/>
        <w:autoSpaceDN w:val="0"/>
        <w:adjustRightInd w:val="0"/>
        <w:jc w:val="both"/>
        <w:rPr>
          <w:b/>
          <w:bCs/>
        </w:rPr>
      </w:pPr>
    </w:p>
    <w:p w:rsidR="00DF2633" w:rsidRPr="006531D4" w:rsidRDefault="00DF2633" w:rsidP="00DF2633">
      <w:pPr>
        <w:jc w:val="both"/>
        <w:outlineLvl w:val="0"/>
      </w:pPr>
      <w:r w:rsidRPr="006531D4">
        <w:t>Navržená konstrukce je:</w:t>
      </w:r>
    </w:p>
    <w:p w:rsidR="00DF2633" w:rsidRPr="00124E7D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DF2633" w:rsidRPr="00C618ED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DF2633" w:rsidRPr="00C618ED" w:rsidRDefault="00DF2633" w:rsidP="00DF2633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DF2633" w:rsidRPr="00213D74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13D74">
        <w:rPr>
          <w:sz w:val="22"/>
          <w:szCs w:val="22"/>
        </w:rPr>
        <w:t>Kamenivo zpevněné cementem</w:t>
      </w:r>
      <w:r w:rsidRPr="00213D7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KSC 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120 mm</w:t>
      </w:r>
    </w:p>
    <w:p w:rsidR="00DF2633" w:rsidRPr="00213D74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DF2633" w:rsidRPr="00C618ED" w:rsidRDefault="00DF2633" w:rsidP="00DF2633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390</w:t>
      </w:r>
      <w:r w:rsidRPr="00C618ED">
        <w:rPr>
          <w:sz w:val="22"/>
          <w:szCs w:val="22"/>
        </w:rPr>
        <w:t xml:space="preserve"> mm</w:t>
      </w:r>
    </w:p>
    <w:p w:rsidR="00DF2633" w:rsidRDefault="00DF2633" w:rsidP="00DF2633"/>
    <w:p w:rsidR="00DF2633" w:rsidRPr="002C2CEA" w:rsidRDefault="00DF2633" w:rsidP="00DF2633">
      <w:pPr>
        <w:autoSpaceDE w:val="0"/>
        <w:autoSpaceDN w:val="0"/>
        <w:adjustRightInd w:val="0"/>
        <w:jc w:val="both"/>
        <w:rPr>
          <w:bCs/>
          <w:i/>
        </w:rPr>
      </w:pPr>
      <w:r w:rsidRPr="002C2CEA">
        <w:rPr>
          <w:bCs/>
          <w:i/>
        </w:rPr>
        <w:t>Doprava v klidu</w:t>
      </w:r>
    </w:p>
    <w:p w:rsidR="00DF2633" w:rsidRPr="00421AAA" w:rsidRDefault="00DF2633" w:rsidP="00DF2633">
      <w:pPr>
        <w:autoSpaceDE w:val="0"/>
        <w:autoSpaceDN w:val="0"/>
        <w:adjustRightInd w:val="0"/>
        <w:jc w:val="both"/>
        <w:rPr>
          <w:b/>
          <w:bCs/>
        </w:rPr>
      </w:pPr>
    </w:p>
    <w:p w:rsidR="00DF2633" w:rsidRPr="00421AAA" w:rsidRDefault="00DF2633" w:rsidP="00DF263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Jsou navržena podélná parkovací stání šířky 2,00 m ( před školou - ul. Horova a v jednosměrném  úseku ul. Vančurova).</w:t>
      </w:r>
    </w:p>
    <w:p w:rsidR="00DF2633" w:rsidRPr="00620AF3" w:rsidRDefault="00DF2633" w:rsidP="00DF2633"/>
    <w:p w:rsidR="00DF2633" w:rsidRPr="00604675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Odvodnění </w:t>
      </w:r>
      <w:r>
        <w:rPr>
          <w:sz w:val="22"/>
          <w:szCs w:val="22"/>
        </w:rPr>
        <w:t>místní komunikace a přilehlých ploch je zajištěno</w:t>
      </w:r>
      <w:r w:rsidRPr="00604675">
        <w:rPr>
          <w:sz w:val="22"/>
          <w:szCs w:val="22"/>
        </w:rPr>
        <w:t xml:space="preserve"> příčným a podélným s</w:t>
      </w:r>
      <w:r>
        <w:rPr>
          <w:sz w:val="22"/>
          <w:szCs w:val="22"/>
        </w:rPr>
        <w:t>klonem do uličních vpustí a dále do stávající dešťové kanalizace. Je navržena rekonstrukce 20 -ti  uličních dešťových vpustí.</w:t>
      </w:r>
    </w:p>
    <w:p w:rsidR="007F4306" w:rsidRPr="00620AF3" w:rsidRDefault="007F4306" w:rsidP="007F4306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503E34" w:rsidRDefault="00503E34" w:rsidP="00503E34">
      <w:pPr>
        <w:rPr>
          <w:i/>
          <w:szCs w:val="22"/>
          <w:highlight w:val="green"/>
        </w:rPr>
      </w:pPr>
    </w:p>
    <w:p w:rsidR="00503E34" w:rsidRDefault="00503E34" w:rsidP="00503E34">
      <w:pPr>
        <w:rPr>
          <w:i/>
          <w:szCs w:val="22"/>
          <w:highlight w:val="green"/>
        </w:rPr>
      </w:pPr>
    </w:p>
    <w:p w:rsidR="00503E34" w:rsidRDefault="00503E34" w:rsidP="00503E34">
      <w:pPr>
        <w:rPr>
          <w:b/>
          <w:szCs w:val="36"/>
        </w:rPr>
      </w:pPr>
      <w:r w:rsidRPr="00FA1055">
        <w:rPr>
          <w:b/>
          <w:szCs w:val="36"/>
        </w:rPr>
        <w:t>SO  401 Veřejné osvětlení</w:t>
      </w:r>
    </w:p>
    <w:p w:rsidR="00FA1055" w:rsidRPr="00FA1055" w:rsidRDefault="00FA1055" w:rsidP="00503E34">
      <w:pPr>
        <w:rPr>
          <w:szCs w:val="36"/>
        </w:rPr>
      </w:pPr>
      <w:r>
        <w:rPr>
          <w:szCs w:val="36"/>
        </w:rPr>
        <w:t>V rámci rekonstrukce je navržena výměna stožárů a svítidel veřejného osvětlení a výměna kabelizace silového vedení VO. Umístění sloupů a navržená trasa kabelů jsou patrné z koordinační situace.</w:t>
      </w:r>
    </w:p>
    <w:p w:rsidR="00FA1055" w:rsidRDefault="00FA1055" w:rsidP="00503E34">
      <w:pPr>
        <w:rPr>
          <w:b/>
          <w:szCs w:val="36"/>
        </w:rPr>
      </w:pPr>
    </w:p>
    <w:p w:rsidR="00503E34" w:rsidRPr="00FA1055" w:rsidRDefault="00503E34" w:rsidP="00503E34">
      <w:pPr>
        <w:rPr>
          <w:b/>
          <w:szCs w:val="36"/>
        </w:rPr>
      </w:pPr>
      <w:r w:rsidRPr="00FA1055">
        <w:rPr>
          <w:b/>
          <w:szCs w:val="36"/>
        </w:rPr>
        <w:t>SO 461 Ochrana sdělovacích kabelů.</w:t>
      </w:r>
    </w:p>
    <w:p w:rsidR="00503E34" w:rsidRPr="00FA1055" w:rsidRDefault="00503E34" w:rsidP="00503E34">
      <w:pPr>
        <w:rPr>
          <w:b/>
          <w:sz w:val="28"/>
          <w:szCs w:val="36"/>
        </w:rPr>
      </w:pPr>
      <w:r w:rsidRPr="00FA1055">
        <w:rPr>
          <w:szCs w:val="22"/>
        </w:rPr>
        <w:t xml:space="preserve">Dle  požadavku správce sdělovacích kabelů, bude  upravena trasa kabelů na ulici Vančurova v úseku 0,000 až 0,100 km. Kabely budou uloženy do ochranných žlabů a trasa bude posunuta do chodníku. V místě křížení z komunikací budou osazeny rezervní chráničky a stávající kabely budou uloženy do ochranných žlabů v předepsané hloubce dle ČSN.  </w:t>
      </w:r>
    </w:p>
    <w:p w:rsidR="007F4306" w:rsidRDefault="007F4306" w:rsidP="007F4306">
      <w:pPr>
        <w:autoSpaceDE w:val="0"/>
        <w:autoSpaceDN w:val="0"/>
        <w:adjustRightInd w:val="0"/>
        <w:jc w:val="both"/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Připojení na dopravní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503E34" w:rsidRDefault="00503E34" w:rsidP="00503E34">
      <w:pPr>
        <w:rPr>
          <w:i/>
          <w:szCs w:val="22"/>
        </w:rPr>
      </w:pPr>
      <w:r w:rsidRPr="00503E34">
        <w:rPr>
          <w:szCs w:val="22"/>
        </w:rPr>
        <w:t xml:space="preserve">Výstavba místní a pěší komunikace nevyžaduje napojení na technickou infrastrukturu. </w:t>
      </w:r>
      <w:r w:rsidRPr="00503E34">
        <w:rPr>
          <w:i/>
          <w:szCs w:val="22"/>
        </w:rPr>
        <w:t>Dle  požadavku správce sdělovacích kabelů, bude  upravena trasa kabelů na ulici Vančurova v úseku 0,000 až 0,100 km. Kabely budou uloženy do ochranných žlabů a trasa bude posunuta do chodníku. V místě křížení z komunikací budou osazeny rezervní chráničky a stávající kabely budou uloženy do ochranných žlabů v předepsané hloubce dle ČSN.</w:t>
      </w:r>
    </w:p>
    <w:p w:rsidR="00503E34" w:rsidRPr="002C2CEA" w:rsidRDefault="00503E34" w:rsidP="00503E34">
      <w:pPr>
        <w:rPr>
          <w:b/>
          <w:i/>
          <w:sz w:val="28"/>
          <w:szCs w:val="36"/>
        </w:rPr>
      </w:pPr>
      <w:r>
        <w:rPr>
          <w:i/>
          <w:szCs w:val="22"/>
        </w:rPr>
        <w:t>Nově navržená trasa kabelů VO bude napojena z rozvodné skříně na ul. Růženy Svobodové.</w:t>
      </w:r>
      <w:r w:rsidRPr="002C2CEA">
        <w:rPr>
          <w:i/>
          <w:szCs w:val="22"/>
        </w:rPr>
        <w:t xml:space="preserve"> 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komunikací</w:t>
      </w:r>
      <w:r w:rsidRPr="00E72520">
        <w:rPr>
          <w:szCs w:val="22"/>
        </w:rPr>
        <w:t>.</w:t>
      </w:r>
    </w:p>
    <w:p w:rsidR="00E72520" w:rsidRDefault="00E72520" w:rsidP="000B3388"/>
    <w:p w:rsidR="007C2458" w:rsidRDefault="007C2458" w:rsidP="00E72520">
      <w:pPr>
        <w:rPr>
          <w:b/>
          <w:sz w:val="36"/>
        </w:rPr>
      </w:pPr>
    </w:p>
    <w:p w:rsidR="007C2458" w:rsidRDefault="007C2458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 w:rsidR="00906CA7">
        <w:rPr>
          <w:b/>
          <w:sz w:val="36"/>
        </w:rPr>
        <w:t>Dopravní řešení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503E34" w:rsidRPr="00421AAA" w:rsidRDefault="00503E34" w:rsidP="00503E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Šířka nově navržené komunikace umožní obousměrný provoz motorových vozidel</w:t>
      </w:r>
      <w:r w:rsidRPr="00421AAA">
        <w:rPr>
          <w:sz w:val="22"/>
          <w:szCs w:val="22"/>
        </w:rPr>
        <w:t>.</w:t>
      </w:r>
      <w:r>
        <w:rPr>
          <w:sz w:val="22"/>
          <w:szCs w:val="22"/>
        </w:rPr>
        <w:t xml:space="preserve"> K místní komunikaci přiléhá oboustranný chodník šířky 1,5 m. V úseku ul. Vančurova  zůstane zachován jednosměrný provoz a bude umožněnou parkování vozidel po obou stranách komunikace.</w:t>
      </w:r>
    </w:p>
    <w:p w:rsidR="00503E34" w:rsidRPr="00E72520" w:rsidRDefault="00503E34" w:rsidP="00503E34">
      <w:pPr>
        <w:rPr>
          <w:b/>
          <w:i/>
          <w:sz w:val="28"/>
          <w:szCs w:val="36"/>
        </w:rPr>
      </w:pPr>
      <w:r w:rsidRPr="002C2CEA">
        <w:rPr>
          <w:szCs w:val="22"/>
        </w:rPr>
        <w:t xml:space="preserve">Rekonstruované  místní komunikace jsou již napojeny na stávající místní komunikace. Dopravní situace se nezmění. </w:t>
      </w:r>
    </w:p>
    <w:p w:rsidR="00E72520" w:rsidRDefault="00E72520" w:rsidP="00E72520"/>
    <w:p w:rsidR="00503E34" w:rsidRDefault="00503E34" w:rsidP="00E72520"/>
    <w:p w:rsidR="00E72520" w:rsidRPr="002A1459" w:rsidRDefault="00E72520" w:rsidP="00E72520">
      <w:pPr>
        <w:rPr>
          <w:b/>
          <w:i/>
          <w:szCs w:val="36"/>
        </w:rPr>
      </w:pPr>
      <w:r w:rsidRPr="002A1459">
        <w:rPr>
          <w:b/>
          <w:i/>
          <w:szCs w:val="36"/>
        </w:rPr>
        <w:t>B.4.b  Napojení území na stávající dopravní infrastrukturu</w:t>
      </w:r>
    </w:p>
    <w:p w:rsidR="00E72520" w:rsidRDefault="00906CA7" w:rsidP="000B3388">
      <w:r>
        <w:rPr>
          <w:szCs w:val="22"/>
        </w:rPr>
        <w:t>Rekonstruovan</w:t>
      </w:r>
      <w:r w:rsidR="00C54A56">
        <w:rPr>
          <w:szCs w:val="22"/>
        </w:rPr>
        <w:t>é</w:t>
      </w:r>
      <w:r>
        <w:rPr>
          <w:szCs w:val="22"/>
        </w:rPr>
        <w:t xml:space="preserve"> komunikace je napojen</w:t>
      </w:r>
      <w:r w:rsidR="00C54A56">
        <w:rPr>
          <w:szCs w:val="22"/>
        </w:rPr>
        <w:t>y</w:t>
      </w:r>
      <w:r>
        <w:rPr>
          <w:szCs w:val="22"/>
        </w:rPr>
        <w:t xml:space="preserve"> na </w:t>
      </w:r>
      <w:r w:rsidR="00C54A56">
        <w:rPr>
          <w:szCs w:val="22"/>
        </w:rPr>
        <w:t xml:space="preserve">okolní místní komunikace (ul. </w:t>
      </w:r>
      <w:r w:rsidR="00503E34">
        <w:rPr>
          <w:szCs w:val="22"/>
        </w:rPr>
        <w:t>Jubilejní park, Do Lesek, Sládkova, Boženy Němcové, Růženy Svobodové)</w:t>
      </w:r>
      <w:r>
        <w:rPr>
          <w:szCs w:val="22"/>
        </w:rPr>
        <w:t>.</w:t>
      </w:r>
    </w:p>
    <w:p w:rsidR="002A1459" w:rsidRDefault="002A1459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503E34" w:rsidRPr="00421AAA" w:rsidRDefault="00503E34" w:rsidP="00503E3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Jsou navržena podélná parkovací stání šířky 2,00 m ( před školou - ul. Horova a v jednosměrném  úseku ul. Vančurova).</w:t>
      </w:r>
    </w:p>
    <w:p w:rsidR="00E72520" w:rsidRDefault="00E72520" w:rsidP="000B3388"/>
    <w:p w:rsidR="00284F3A" w:rsidRDefault="00284F3A" w:rsidP="00284F3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Pěší a cyklistické stezky </w:t>
      </w:r>
    </w:p>
    <w:p w:rsidR="00284F3A" w:rsidRDefault="00284F3A" w:rsidP="00284F3A">
      <w:r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 xml:space="preserve">rezervace, národní přírodní památky, </w:t>
      </w:r>
      <w:r w:rsidRPr="00E72520">
        <w:lastRenderedPageBreak/>
        <w:t>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E72520" w:rsidP="00E72520">
      <w:pPr>
        <w:autoSpaceDE w:val="0"/>
        <w:autoSpaceDN w:val="0"/>
        <w:adjustRightInd w:val="0"/>
        <w:rPr>
          <w:szCs w:val="22"/>
        </w:rPr>
      </w:pPr>
      <w:r w:rsidRPr="00E72520">
        <w:rPr>
          <w:szCs w:val="22"/>
        </w:rPr>
        <w:t>Místní komunikace je dopravní stavbou. V rámci civilní ochrany funguje jako součást přístupové trasy. Další požadavky na komunikaci z hlediska CO nejsou kladeny.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Okolí staveniště není třeba speciálně chránit. Bude vytvořeno dočasné oplocení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okolo deponie sejmuté ornice. Staveniště bude označeno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lastRenderedPageBreak/>
        <w:t>B</w:t>
      </w:r>
      <w:r w:rsidR="00E72520">
        <w:t xml:space="preserve">ude proveden odkop zeminy pod navrženou komunikací na úroveň zemní pláně v objemu </w:t>
      </w:r>
      <w:r w:rsidR="00E72520" w:rsidRPr="00503E34">
        <w:t xml:space="preserve">cca </w:t>
      </w:r>
      <w:r w:rsidR="00503E34" w:rsidRPr="00503E34">
        <w:t>1700</w:t>
      </w:r>
      <w:r w:rsidR="00E72520" w:rsidRPr="00503E34">
        <w:t>m</w:t>
      </w:r>
      <w:r w:rsidR="00E72520" w:rsidRPr="00503E34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FA1055" w:rsidRDefault="00FA1055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t xml:space="preserve">Bude proveden odkop zeminy pod navrženou komunikací na úroveň zemní pláně v objemu </w:t>
      </w:r>
      <w:r w:rsidRPr="00503E34">
        <w:t xml:space="preserve">cca </w:t>
      </w:r>
      <w:r w:rsidR="00503E34" w:rsidRPr="00503E34">
        <w:t>1700</w:t>
      </w:r>
      <w:r w:rsidR="009E4DF4" w:rsidRPr="00503E34">
        <w:t>m</w:t>
      </w:r>
      <w:r w:rsidR="009E4DF4" w:rsidRPr="00503E34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Pro vyčíslení zatěžovacích parametrů produkce srážkových odpadních vod za účelem posouzení dimenze dešťové kanalizace byl použit obecný vzorec pro racionální metody: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Q=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  <w:b/>
          <w:bCs/>
        </w:rPr>
        <w:t></w:t>
      </w:r>
      <w:r>
        <w:rPr>
          <w:rFonts w:ascii="Arial" w:hAnsi="Arial" w:cs="Arial"/>
          <w:b/>
          <w:bCs/>
        </w:rPr>
        <w:t>* i * A 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Q – maximální odtok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Symbol" w:hAnsi="Symbol"/>
        </w:rPr>
        <w:t>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>součinitel odtoku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i– intenzita deště ( l/s/ha)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>– plocha povodí stoky (ha)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  <w:vertAlign w:val="subscript"/>
        </w:rPr>
        <w:t xml:space="preserve"> 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>165 l/s/ha</w:t>
      </w:r>
      <w:r>
        <w:rPr>
          <w:rFonts w:ascii="Arial" w:hAnsi="Arial" w:cs="Arial"/>
        </w:rPr>
        <w:t xml:space="preserve"> ( p=0,5, 15 min. déšť) pro tuto oblast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zpevněné plochy : </w:t>
      </w:r>
      <w:r>
        <w:rPr>
          <w:rFonts w:ascii="Arial" w:hAnsi="Arial" w:cs="Arial"/>
        </w:rPr>
        <w:tab/>
      </w:r>
      <w:r w:rsidR="007C2458">
        <w:rPr>
          <w:rFonts w:ascii="Arial" w:hAnsi="Arial" w:cs="Arial"/>
        </w:rPr>
        <w:t>4870</w:t>
      </w:r>
      <w:r>
        <w:rPr>
          <w:rFonts w:ascii="Arial" w:hAnsi="Arial" w:cs="Arial"/>
          <w:b/>
          <w:bCs/>
        </w:rPr>
        <w:t xml:space="preserve"> 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( komunikace) ,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7C2458">
        <w:rPr>
          <w:rFonts w:ascii="Arial" w:hAnsi="Arial" w:cs="Arial"/>
        </w:rPr>
        <w:t>2072</w:t>
      </w:r>
      <w:r>
        <w:rPr>
          <w:rFonts w:ascii="Arial" w:hAnsi="Arial" w:cs="Arial"/>
          <w:b/>
          <w:bCs/>
        </w:rPr>
        <w:t xml:space="preserve"> 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( chodníky, podklad ŠP)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                                       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nezpevněné plochy : 0 </w:t>
      </w:r>
      <w:r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  </w:t>
      </w:r>
      <w:r>
        <w:rPr>
          <w:rFonts w:ascii="Arial" w:hAnsi="Arial" w:cs="Arial"/>
        </w:rPr>
        <w:t>( travnaté plochy kolem komunikace, domů, apod.)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 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rFonts w:ascii="Symbol" w:hAnsi="Symbol"/>
          <w:color w:val="auto"/>
        </w:rPr>
        <w:lastRenderedPageBreak/>
        <w:t></w:t>
      </w:r>
      <w:r w:rsidRPr="00C3110B">
        <w:rPr>
          <w:color w:val="auto"/>
          <w:vertAlign w:val="subscript"/>
        </w:rPr>
        <w:t>s</w:t>
      </w:r>
      <w:r w:rsidRPr="00C3110B">
        <w:rPr>
          <w:b w:val="0"/>
          <w:color w:val="auto"/>
        </w:rPr>
        <w:t xml:space="preserve"> – stanovení středního výpočtového součinitele odtoku bylo provedeno dle všeobecně používaného výrazu</w:t>
      </w:r>
    </w:p>
    <w:p w:rsidR="008B7FC5" w:rsidRPr="00C3110B" w:rsidRDefault="008B7FC5" w:rsidP="008B7FC5">
      <w:pPr>
        <w:pStyle w:val="Nadpis2"/>
        <w:rPr>
          <w:color w:val="auto"/>
          <w:u w:val="single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color w:val="auto"/>
        </w:rPr>
        <w:t xml:space="preserve"> = </w:t>
      </w:r>
      <w:r w:rsidRPr="00C3110B">
        <w:rPr>
          <w:color w:val="auto"/>
          <w:u w:val="single"/>
        </w:rPr>
        <w:t>S</w:t>
      </w:r>
      <w:r w:rsidRPr="00C3110B">
        <w:rPr>
          <w:color w:val="auto"/>
          <w:u w:val="single"/>
          <w:vertAlign w:val="subscript"/>
        </w:rPr>
        <w:t>1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rFonts w:ascii="Symbol" w:hAnsi="Symbol"/>
          <w:color w:val="auto"/>
          <w:u w:val="single"/>
          <w:vertAlign w:val="subscript"/>
        </w:rPr>
        <w:t></w:t>
      </w:r>
      <w:r w:rsidRPr="00C3110B">
        <w:rPr>
          <w:rFonts w:ascii="Symbol" w:hAnsi="Symbol"/>
          <w:color w:val="auto"/>
          <w:u w:val="single"/>
        </w:rPr>
        <w:t>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color w:val="auto"/>
          <w:u w:val="single"/>
        </w:rPr>
        <w:t xml:space="preserve"> S</w:t>
      </w:r>
      <w:r w:rsidRPr="00C3110B">
        <w:rPr>
          <w:color w:val="auto"/>
          <w:u w:val="single"/>
          <w:vertAlign w:val="subscript"/>
        </w:rPr>
        <w:t>n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color w:val="auto"/>
          <w:u w:val="single"/>
          <w:vertAlign w:val="subscript"/>
        </w:rPr>
        <w:t>n</w:t>
      </w:r>
    </w:p>
    <w:p w:rsidR="008B7FC5" w:rsidRPr="00C3110B" w:rsidRDefault="008B7FC5" w:rsidP="008B7FC5">
      <w:pPr>
        <w:rPr>
          <w:rFonts w:eastAsia="Calibri"/>
          <w:b/>
          <w:bCs/>
        </w:rPr>
      </w:pPr>
      <w:r w:rsidRPr="00C3110B">
        <w:rPr>
          <w:b/>
          <w:bCs/>
        </w:rPr>
        <w:t xml:space="preserve">                     </w:t>
      </w:r>
      <w:r w:rsidRPr="00C3110B">
        <w:rPr>
          <w:rFonts w:ascii="Symbol" w:hAnsi="Symbol"/>
          <w:b/>
          <w:bCs/>
        </w:rPr>
        <w:t></w:t>
      </w:r>
      <w:r w:rsidRPr="00C3110B">
        <w:rPr>
          <w:b/>
          <w:bCs/>
        </w:rPr>
        <w:t>S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color w:val="auto"/>
        </w:rPr>
        <w:t>S</w:t>
      </w:r>
      <w:r w:rsidRPr="00C3110B">
        <w:rPr>
          <w:color w:val="auto"/>
          <w:vertAlign w:val="subscript"/>
        </w:rPr>
        <w:t>1</w:t>
      </w:r>
      <w:r w:rsidRPr="00C3110B">
        <w:rPr>
          <w:color w:val="auto"/>
        </w:rPr>
        <w:t>………………………..S</w:t>
      </w:r>
      <w:r w:rsidRPr="00C3110B">
        <w:rPr>
          <w:color w:val="auto"/>
          <w:vertAlign w:val="subscript"/>
        </w:rPr>
        <w:t xml:space="preserve">n </w:t>
      </w:r>
      <w:r w:rsidRPr="00C3110B">
        <w:rPr>
          <w:color w:val="auto"/>
        </w:rPr>
        <w:t> </w:t>
      </w:r>
      <w:r w:rsidRPr="00C3110B">
        <w:rPr>
          <w:b w:val="0"/>
          <w:color w:val="auto"/>
        </w:rPr>
        <w:t>- jednotlivé velikosti všech zastoupených ploch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rFonts w:ascii="Symbol" w:hAnsi="Symbol"/>
          <w:color w:val="auto"/>
          <w:vertAlign w:val="subscript"/>
        </w:rPr>
        <w:t></w:t>
      </w:r>
      <w:r w:rsidRPr="00C3110B">
        <w:rPr>
          <w:color w:val="auto"/>
        </w:rPr>
        <w:t>………………………..</w:t>
      </w: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n</w:t>
      </w:r>
      <w:r w:rsidRPr="00C3110B">
        <w:rPr>
          <w:color w:val="auto"/>
        </w:rPr>
        <w:t xml:space="preserve"> </w:t>
      </w:r>
      <w:r w:rsidRPr="00C3110B">
        <w:rPr>
          <w:b w:val="0"/>
          <w:color w:val="auto"/>
        </w:rPr>
        <w:t xml:space="preserve">– součinitelé odtoku dle způsobu zástavby, druhu úpravy  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b w:val="0"/>
          <w:color w:val="auto"/>
        </w:rPr>
        <w:t>                                                povrchu a konfigurace území</w:t>
      </w:r>
    </w:p>
    <w:p w:rsidR="008B7FC5" w:rsidRDefault="008B7FC5" w:rsidP="008B7FC5">
      <w:pPr>
        <w:rPr>
          <w:rFonts w:eastAsia="Calibri"/>
        </w:rPr>
      </w:pP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součinitel</w:t>
      </w:r>
      <w:r>
        <w:t xml:space="preserve">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 xml:space="preserve">pro zastoupené plochy  - komunikace :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0,7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                                                      </w:t>
      </w:r>
      <w:r>
        <w:rPr>
          <w:rFonts w:ascii="Arial" w:hAnsi="Arial" w:cs="Arial"/>
        </w:rPr>
        <w:t>- chodník:</w:t>
      </w:r>
      <w:r>
        <w:rPr>
          <w:rFonts w:ascii="Arial" w:hAnsi="Arial" w:cs="Arial"/>
          <w:b/>
          <w:bCs/>
        </w:rPr>
        <w:t>       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    </w:t>
      </w:r>
      <w:r>
        <w:rPr>
          <w:rFonts w:ascii="Arial" w:hAnsi="Arial" w:cs="Arial"/>
        </w:rPr>
        <w:t>- vjezdy:</w:t>
      </w:r>
      <w:r>
        <w:rPr>
          <w:rFonts w:ascii="Arial" w:hAnsi="Arial" w:cs="Arial"/>
          <w:b/>
          <w:bCs/>
        </w:rPr>
        <w:t xml:space="preserve">            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 -  střechy:       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0,9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                          - nezp. plochy: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0,1</w:t>
      </w:r>
    </w:p>
    <w:p w:rsidR="008B7FC5" w:rsidRDefault="008B7FC5" w:rsidP="008B7FC5">
      <w:pPr>
        <w:rPr>
          <w:sz w:val="20"/>
          <w:szCs w:val="20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výpočet:</w:t>
      </w:r>
    </w:p>
    <w:p w:rsidR="008B7FC5" w:rsidRDefault="008B7FC5" w:rsidP="008B7FC5">
      <w:pPr>
        <w:rPr>
          <w:rFonts w:ascii="Arial" w:hAnsi="Arial" w:cs="Arial"/>
          <w:u w:val="single"/>
        </w:rPr>
      </w:pPr>
    </w:p>
    <w:p w:rsidR="008B7FC5" w:rsidRDefault="008B7FC5" w:rsidP="008B7FC5">
      <w:pPr>
        <w:rPr>
          <w:u w:val="single"/>
        </w:rPr>
      </w:pPr>
      <w:r>
        <w:rPr>
          <w:rFonts w:ascii="Symbol" w:hAnsi="Symbol"/>
        </w:rPr>
        <w:t></w:t>
      </w:r>
      <w:r>
        <w:rPr>
          <w:vertAlign w:val="subscript"/>
        </w:rPr>
        <w:t>s</w:t>
      </w:r>
      <w:r>
        <w:t xml:space="preserve"> = </w:t>
      </w:r>
      <w:r w:rsidR="007C2458">
        <w:rPr>
          <w:u w:val="single"/>
        </w:rPr>
        <w:t>0,4870*0,7+ 0,2072*0,5</w:t>
      </w:r>
      <w:r>
        <w:rPr>
          <w:u w:val="single"/>
        </w:rPr>
        <w:t xml:space="preserve"> </w:t>
      </w:r>
    </w:p>
    <w:p w:rsidR="008B7FC5" w:rsidRDefault="008B7FC5" w:rsidP="008B7FC5">
      <w:pPr>
        <w:rPr>
          <w:rFonts w:ascii="Calibri" w:hAnsi="Calibri"/>
        </w:rPr>
      </w:pPr>
      <w:r>
        <w:t xml:space="preserve">            </w:t>
      </w:r>
      <w:r w:rsidR="007C2458">
        <w:t>0,6942</w:t>
      </w:r>
    </w:p>
    <w:p w:rsidR="008B7FC5" w:rsidRDefault="008B7FC5" w:rsidP="008B7FC5">
      <w:pPr>
        <w:rPr>
          <w:u w:val="single"/>
        </w:rPr>
      </w:pPr>
      <w:r>
        <w:rPr>
          <w:rFonts w:ascii="Symbol" w:hAnsi="Symbol"/>
          <w:u w:val="single"/>
        </w:rPr>
        <w:t></w:t>
      </w:r>
      <w:r>
        <w:rPr>
          <w:u w:val="single"/>
          <w:vertAlign w:val="subscript"/>
        </w:rPr>
        <w:t>s</w:t>
      </w:r>
      <w:r>
        <w:rPr>
          <w:u w:val="single"/>
        </w:rPr>
        <w:t xml:space="preserve"> = 0,</w:t>
      </w:r>
      <w:r w:rsidR="007C2458">
        <w:rPr>
          <w:u w:val="single"/>
        </w:rPr>
        <w:t>64</w:t>
      </w: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výpočet maximálního odtoku trasa a: </w:t>
      </w: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>Q= 0,</w:t>
      </w:r>
      <w:r w:rsidR="007C2458">
        <w:rPr>
          <w:rFonts w:ascii="Arial" w:hAnsi="Arial" w:cs="Arial"/>
        </w:rPr>
        <w:t>64</w:t>
      </w:r>
      <w:r>
        <w:rPr>
          <w:rFonts w:ascii="Arial" w:hAnsi="Arial" w:cs="Arial"/>
        </w:rPr>
        <w:t>*0,</w:t>
      </w:r>
      <w:r w:rsidR="007C2458">
        <w:rPr>
          <w:rFonts w:ascii="Arial" w:hAnsi="Arial" w:cs="Arial"/>
        </w:rPr>
        <w:t>6942</w:t>
      </w:r>
      <w:r>
        <w:rPr>
          <w:rFonts w:ascii="Arial" w:hAnsi="Arial" w:cs="Arial"/>
        </w:rPr>
        <w:t>*165,0</w:t>
      </w:r>
    </w:p>
    <w:p w:rsidR="008B7FC5" w:rsidRDefault="008B7FC5" w:rsidP="008B7FC5">
      <w:pPr>
        <w:rPr>
          <w:rFonts w:ascii="Arial" w:hAnsi="Arial" w:cs="Arial"/>
        </w:rPr>
      </w:pPr>
    </w:p>
    <w:p w:rsidR="008B7FC5" w:rsidRPr="008C7CB1" w:rsidRDefault="008B7FC5" w:rsidP="008B7FC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 xml:space="preserve">Q = </w:t>
      </w:r>
      <w:r w:rsidR="007C2458">
        <w:rPr>
          <w:rFonts w:ascii="Arial" w:hAnsi="Arial" w:cs="Arial"/>
          <w:b/>
          <w:bCs/>
          <w:u w:val="single"/>
        </w:rPr>
        <w:t>444</w:t>
      </w:r>
      <w:r>
        <w:rPr>
          <w:rFonts w:ascii="Arial" w:hAnsi="Arial" w:cs="Arial"/>
          <w:b/>
          <w:bCs/>
          <w:u w:val="single"/>
        </w:rPr>
        <w:t>,</w:t>
      </w:r>
      <w:r w:rsidR="007C2458">
        <w:rPr>
          <w:rFonts w:ascii="Arial" w:hAnsi="Arial" w:cs="Arial"/>
          <w:b/>
          <w:bCs/>
          <w:u w:val="single"/>
        </w:rPr>
        <w:t>5</w:t>
      </w:r>
      <w:r>
        <w:rPr>
          <w:rFonts w:ascii="Arial" w:hAnsi="Arial" w:cs="Arial"/>
          <w:b/>
          <w:bCs/>
          <w:u w:val="single"/>
        </w:rPr>
        <w:t xml:space="preserve">4 l/s </w:t>
      </w:r>
      <w:r>
        <w:rPr>
          <w:rFonts w:ascii="Arial" w:hAnsi="Arial" w:cs="Arial"/>
          <w:b/>
          <w:bCs/>
        </w:rPr>
        <w:t xml:space="preserve">       ~</w:t>
      </w:r>
      <w:r>
        <w:rPr>
          <w:rFonts w:ascii="Arial" w:hAnsi="Arial" w:cs="Arial"/>
          <w:bCs/>
          <w:lang w:val="en-US"/>
        </w:rPr>
        <w:t>&gt;  0</w:t>
      </w:r>
      <w:r>
        <w:rPr>
          <w:rFonts w:ascii="Arial" w:hAnsi="Arial" w:cs="Arial"/>
          <w:bCs/>
        </w:rPr>
        <w:t>,</w:t>
      </w:r>
      <w:r w:rsidR="007C2458">
        <w:rPr>
          <w:rFonts w:ascii="Arial" w:hAnsi="Arial" w:cs="Arial"/>
          <w:bCs/>
        </w:rPr>
        <w:t>4445</w:t>
      </w:r>
      <w:r>
        <w:rPr>
          <w:rFonts w:ascii="Arial" w:hAnsi="Arial" w:cs="Arial"/>
          <w:bCs/>
        </w:rPr>
        <w:t>0 m</w:t>
      </w:r>
      <w:r>
        <w:rPr>
          <w:rFonts w:ascii="Arial" w:hAnsi="Arial" w:cs="Arial"/>
          <w:bCs/>
          <w:vertAlign w:val="superscript"/>
        </w:rPr>
        <w:t>3</w:t>
      </w:r>
      <w:r>
        <w:rPr>
          <w:rFonts w:ascii="Arial" w:hAnsi="Arial" w:cs="Arial"/>
          <w:bCs/>
        </w:rPr>
        <w:t>/s</w:t>
      </w:r>
    </w:p>
    <w:p w:rsidR="008B7FC5" w:rsidRDefault="008B7FC5" w:rsidP="008B7FC5">
      <w:pPr>
        <w:rPr>
          <w:szCs w:val="22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>Rekonstrukcí nedojde ke zvýšení odtoku srážkových vod z prostoru komunikace.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svedena podélným a příčným sklonem komunikace do </w:t>
      </w:r>
      <w:r w:rsidR="007C2458">
        <w:t>uličních vpustí.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8B7FC5">
        <w:t>říjen</w:t>
      </w:r>
      <w:r w:rsidRPr="00ED34EC">
        <w:t xml:space="preserve"> 20</w:t>
      </w:r>
      <w:r w:rsidR="00116FC8">
        <w:t>20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21D" w:rsidRDefault="00A4421D">
      <w:r>
        <w:separator/>
      </w:r>
    </w:p>
  </w:endnote>
  <w:endnote w:type="continuationSeparator" w:id="1">
    <w:p w:rsidR="00A4421D" w:rsidRDefault="00A44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21D" w:rsidRDefault="00A4421D">
      <w:r>
        <w:separator/>
      </w:r>
    </w:p>
  </w:footnote>
  <w:footnote w:type="continuationSeparator" w:id="1">
    <w:p w:rsidR="00A4421D" w:rsidRDefault="00A44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89" w:rsidRDefault="00BA5B89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>kce:    REKONSTRUKCE UL. VANČUROVA A HOROVA</w:t>
    </w:r>
  </w:p>
  <w:p w:rsidR="00BA5B89" w:rsidRPr="00A86F73" w:rsidRDefault="00BA5B89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B20791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B20791" w:rsidRPr="00A86F73">
      <w:rPr>
        <w:rStyle w:val="slostrnky"/>
        <w:sz w:val="20"/>
        <w:szCs w:val="20"/>
        <w:u w:val="single"/>
      </w:rPr>
      <w:fldChar w:fldCharType="separate"/>
    </w:r>
    <w:r w:rsidR="00514263">
      <w:rPr>
        <w:rStyle w:val="slostrnky"/>
        <w:noProof/>
        <w:sz w:val="20"/>
        <w:szCs w:val="20"/>
        <w:u w:val="single"/>
      </w:rPr>
      <w:t>13</w:t>
    </w:r>
    <w:r w:rsidR="00B20791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E606C"/>
    <w:rsid w:val="000F6C92"/>
    <w:rsid w:val="00101A08"/>
    <w:rsid w:val="00113620"/>
    <w:rsid w:val="00116A54"/>
    <w:rsid w:val="00116FC8"/>
    <w:rsid w:val="00126921"/>
    <w:rsid w:val="00146DF6"/>
    <w:rsid w:val="00167EBB"/>
    <w:rsid w:val="0018146A"/>
    <w:rsid w:val="00185F38"/>
    <w:rsid w:val="00186718"/>
    <w:rsid w:val="001A7A75"/>
    <w:rsid w:val="001B3C59"/>
    <w:rsid w:val="001C6A9C"/>
    <w:rsid w:val="001D7040"/>
    <w:rsid w:val="001E3885"/>
    <w:rsid w:val="002010BF"/>
    <w:rsid w:val="002077E0"/>
    <w:rsid w:val="002152CD"/>
    <w:rsid w:val="0022015E"/>
    <w:rsid w:val="002255C8"/>
    <w:rsid w:val="00230DAE"/>
    <w:rsid w:val="00247AA5"/>
    <w:rsid w:val="0025153C"/>
    <w:rsid w:val="0025205E"/>
    <w:rsid w:val="00271F98"/>
    <w:rsid w:val="002765C0"/>
    <w:rsid w:val="00277BA8"/>
    <w:rsid w:val="00283485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22D17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421B5"/>
    <w:rsid w:val="00480DF3"/>
    <w:rsid w:val="0048404E"/>
    <w:rsid w:val="004A0852"/>
    <w:rsid w:val="004B1034"/>
    <w:rsid w:val="004D0C2A"/>
    <w:rsid w:val="004D1329"/>
    <w:rsid w:val="004D5B8B"/>
    <w:rsid w:val="00503E34"/>
    <w:rsid w:val="00506AD5"/>
    <w:rsid w:val="00514263"/>
    <w:rsid w:val="00541176"/>
    <w:rsid w:val="00541BD7"/>
    <w:rsid w:val="005779D0"/>
    <w:rsid w:val="00585911"/>
    <w:rsid w:val="00591D01"/>
    <w:rsid w:val="005B2ABB"/>
    <w:rsid w:val="005B3068"/>
    <w:rsid w:val="005B45F0"/>
    <w:rsid w:val="005C6DAD"/>
    <w:rsid w:val="005D73CD"/>
    <w:rsid w:val="005E029D"/>
    <w:rsid w:val="005E3CA6"/>
    <w:rsid w:val="005F5D1A"/>
    <w:rsid w:val="00620AF3"/>
    <w:rsid w:val="00667E8E"/>
    <w:rsid w:val="006756B6"/>
    <w:rsid w:val="00680F59"/>
    <w:rsid w:val="00691119"/>
    <w:rsid w:val="006A2667"/>
    <w:rsid w:val="006A2F25"/>
    <w:rsid w:val="006A61A4"/>
    <w:rsid w:val="006B5B2E"/>
    <w:rsid w:val="006C0E3A"/>
    <w:rsid w:val="006C6FF0"/>
    <w:rsid w:val="006E6322"/>
    <w:rsid w:val="006F1575"/>
    <w:rsid w:val="006F5607"/>
    <w:rsid w:val="00711DBA"/>
    <w:rsid w:val="007149F8"/>
    <w:rsid w:val="00714B91"/>
    <w:rsid w:val="00721934"/>
    <w:rsid w:val="00721A46"/>
    <w:rsid w:val="00737AF4"/>
    <w:rsid w:val="00766247"/>
    <w:rsid w:val="00780963"/>
    <w:rsid w:val="00790763"/>
    <w:rsid w:val="007B03D4"/>
    <w:rsid w:val="007C2458"/>
    <w:rsid w:val="007C2CBA"/>
    <w:rsid w:val="007C7E12"/>
    <w:rsid w:val="007D481A"/>
    <w:rsid w:val="007D6025"/>
    <w:rsid w:val="007E1F7D"/>
    <w:rsid w:val="007E4B4A"/>
    <w:rsid w:val="007F4306"/>
    <w:rsid w:val="007F59EA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81097"/>
    <w:rsid w:val="00891C81"/>
    <w:rsid w:val="00895130"/>
    <w:rsid w:val="00897C88"/>
    <w:rsid w:val="008B0A8D"/>
    <w:rsid w:val="008B7FC5"/>
    <w:rsid w:val="008D0A38"/>
    <w:rsid w:val="008D76BA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916AB"/>
    <w:rsid w:val="00997884"/>
    <w:rsid w:val="00997B5A"/>
    <w:rsid w:val="009A5A1E"/>
    <w:rsid w:val="009C08D0"/>
    <w:rsid w:val="009D0F48"/>
    <w:rsid w:val="009D5029"/>
    <w:rsid w:val="009E4DF4"/>
    <w:rsid w:val="00A14EDB"/>
    <w:rsid w:val="00A24674"/>
    <w:rsid w:val="00A26A1C"/>
    <w:rsid w:val="00A30F4E"/>
    <w:rsid w:val="00A423D5"/>
    <w:rsid w:val="00A4421D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B4376"/>
    <w:rsid w:val="00AC2638"/>
    <w:rsid w:val="00AD6F68"/>
    <w:rsid w:val="00B105C9"/>
    <w:rsid w:val="00B20791"/>
    <w:rsid w:val="00B325FA"/>
    <w:rsid w:val="00B408E5"/>
    <w:rsid w:val="00B41D68"/>
    <w:rsid w:val="00B527D2"/>
    <w:rsid w:val="00B55B9C"/>
    <w:rsid w:val="00B57463"/>
    <w:rsid w:val="00B82540"/>
    <w:rsid w:val="00B83E6E"/>
    <w:rsid w:val="00B87B6B"/>
    <w:rsid w:val="00BA5B89"/>
    <w:rsid w:val="00BB046A"/>
    <w:rsid w:val="00BC651F"/>
    <w:rsid w:val="00BC726A"/>
    <w:rsid w:val="00BD0B03"/>
    <w:rsid w:val="00C11E49"/>
    <w:rsid w:val="00C42235"/>
    <w:rsid w:val="00C424D9"/>
    <w:rsid w:val="00C54A56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8290B"/>
    <w:rsid w:val="00D83075"/>
    <w:rsid w:val="00D944D3"/>
    <w:rsid w:val="00DB3D2B"/>
    <w:rsid w:val="00DB7615"/>
    <w:rsid w:val="00DC2020"/>
    <w:rsid w:val="00DD1734"/>
    <w:rsid w:val="00DD22D6"/>
    <w:rsid w:val="00DE58BB"/>
    <w:rsid w:val="00DF2633"/>
    <w:rsid w:val="00E14BF2"/>
    <w:rsid w:val="00E35CD1"/>
    <w:rsid w:val="00E433A9"/>
    <w:rsid w:val="00E6291C"/>
    <w:rsid w:val="00E64D11"/>
    <w:rsid w:val="00E669BC"/>
    <w:rsid w:val="00E72520"/>
    <w:rsid w:val="00E7534B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4081E"/>
    <w:rsid w:val="00F5042C"/>
    <w:rsid w:val="00F55042"/>
    <w:rsid w:val="00F642F1"/>
    <w:rsid w:val="00F72BF9"/>
    <w:rsid w:val="00F76E59"/>
    <w:rsid w:val="00F811B7"/>
    <w:rsid w:val="00FA1055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13</Pages>
  <Words>3568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24575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6</cp:revision>
  <cp:lastPrinted>2020-11-25T20:56:00Z</cp:lastPrinted>
  <dcterms:created xsi:type="dcterms:W3CDTF">2018-11-28T11:39:00Z</dcterms:created>
  <dcterms:modified xsi:type="dcterms:W3CDTF">2020-12-08T06:59:00Z</dcterms:modified>
</cp:coreProperties>
</file>