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201B0" w14:textId="20B6D254" w:rsidR="00BC6063" w:rsidRDefault="00BC6063" w:rsidP="00BC6063">
      <w:pPr>
        <w:pStyle w:val="Default"/>
      </w:pPr>
      <w:r>
        <w:rPr>
          <w:b/>
          <w:sz w:val="28"/>
        </w:rPr>
        <w:t xml:space="preserve">Příloha č. 2 </w:t>
      </w:r>
      <w:r>
        <w:t xml:space="preserve"> </w:t>
      </w:r>
      <w:r w:rsidRPr="00BC6063">
        <w:rPr>
          <w:b/>
          <w:sz w:val="28"/>
        </w:rPr>
        <w:t>Pokyn</w:t>
      </w:r>
      <w:r>
        <w:rPr>
          <w:b/>
          <w:sz w:val="28"/>
        </w:rPr>
        <w:t>ů</w:t>
      </w:r>
      <w:r w:rsidRPr="00BC6063">
        <w:rPr>
          <w:b/>
          <w:sz w:val="28"/>
        </w:rPr>
        <w:t xml:space="preserve"> pro žadatele využívající kombinaci </w:t>
      </w:r>
      <w:r>
        <w:t xml:space="preserve"> </w:t>
      </w:r>
      <w:r w:rsidRPr="00BC6063">
        <w:rPr>
          <w:b/>
          <w:sz w:val="28"/>
        </w:rPr>
        <w:t>podpory z OPPIK a metody EPC</w:t>
      </w:r>
      <w:r>
        <w:rPr>
          <w:sz w:val="48"/>
          <w:szCs w:val="48"/>
        </w:rPr>
        <w:t xml:space="preserve"> </w:t>
      </w:r>
      <w:r>
        <w:rPr>
          <w:sz w:val="48"/>
          <w:szCs w:val="48"/>
        </w:rPr>
        <w:t xml:space="preserve"> - </w:t>
      </w:r>
      <w:r>
        <w:rPr>
          <w:b/>
          <w:sz w:val="28"/>
        </w:rPr>
        <w:t xml:space="preserve">Doporučený vzor Dohody o společném postupu </w:t>
      </w:r>
    </w:p>
    <w:p w14:paraId="2FD7A085" w14:textId="77777777" w:rsidR="00BC6063" w:rsidRDefault="00BC6063" w:rsidP="00BC6063">
      <w:pPr>
        <w:spacing w:after="0" w:line="259" w:lineRule="auto"/>
        <w:ind w:left="0" w:right="0" w:firstLine="0"/>
        <w:jc w:val="left"/>
      </w:pPr>
      <w:r>
        <w:t xml:space="preserve"> </w:t>
      </w:r>
    </w:p>
    <w:p w14:paraId="7E35D126" w14:textId="77777777" w:rsidR="00BC6063" w:rsidRDefault="00BC6063" w:rsidP="00BC6063">
      <w:pPr>
        <w:spacing w:after="117" w:line="259" w:lineRule="auto"/>
        <w:ind w:left="0" w:right="0" w:firstLine="0"/>
        <w:jc w:val="left"/>
      </w:pPr>
      <w:r>
        <w:t xml:space="preserve"> </w:t>
      </w:r>
    </w:p>
    <w:p w14:paraId="71A59FE7" w14:textId="77777777" w:rsidR="00BC6063" w:rsidRDefault="00BC6063" w:rsidP="00BC6063">
      <w:pPr>
        <w:pStyle w:val="Nadpis1"/>
        <w:spacing w:after="132" w:line="259" w:lineRule="auto"/>
        <w:ind w:left="2153"/>
      </w:pPr>
      <w:r>
        <w:rPr>
          <w:sz w:val="32"/>
        </w:rPr>
        <w:t xml:space="preserve">Dohoda o společném postupu stran </w:t>
      </w:r>
    </w:p>
    <w:p w14:paraId="79F45FEB" w14:textId="77777777" w:rsidR="00BC6063" w:rsidRDefault="00BC6063" w:rsidP="00BC6063">
      <w:pPr>
        <w:spacing w:after="37" w:line="261" w:lineRule="auto"/>
        <w:ind w:left="960" w:right="894"/>
        <w:jc w:val="center"/>
      </w:pPr>
      <w:r>
        <w:t>uzavřená podle § 1746 odst. 2 zákona č. 89/2012, občanského zákoníku, ve znění pozdějších předpisů (dále jen „</w:t>
      </w:r>
      <w:r>
        <w:rPr>
          <w:b/>
        </w:rPr>
        <w:t>občanský zákoník</w:t>
      </w:r>
      <w:r>
        <w:t xml:space="preserve">“) </w:t>
      </w:r>
    </w:p>
    <w:p w14:paraId="2F10B614" w14:textId="77777777" w:rsidR="00BC6063" w:rsidRDefault="00BC6063" w:rsidP="00BC6063">
      <w:pPr>
        <w:spacing w:after="200" w:line="259" w:lineRule="auto"/>
        <w:ind w:left="55" w:right="0" w:firstLine="0"/>
        <w:jc w:val="center"/>
      </w:pPr>
      <w:r>
        <w:t xml:space="preserve"> </w:t>
      </w:r>
    </w:p>
    <w:p w14:paraId="2F25F2E9" w14:textId="77777777" w:rsidR="00BC6063" w:rsidRDefault="00BC6063" w:rsidP="00BC6063">
      <w:pPr>
        <w:pStyle w:val="Nadpis2"/>
        <w:ind w:left="715" w:right="712"/>
      </w:pPr>
      <w:r>
        <w:t xml:space="preserve">[…] </w:t>
      </w:r>
    </w:p>
    <w:p w14:paraId="5DE49FB9" w14:textId="77777777" w:rsidR="00BC6063" w:rsidRDefault="00BC6063" w:rsidP="00BC6063">
      <w:pPr>
        <w:spacing w:after="1" w:line="435" w:lineRule="auto"/>
        <w:ind w:left="3865" w:right="3862"/>
        <w:jc w:val="center"/>
      </w:pPr>
      <w:r>
        <w:t xml:space="preserve">IČ: […] se sídlem […] </w:t>
      </w:r>
    </w:p>
    <w:p w14:paraId="26D05633" w14:textId="77777777" w:rsidR="00BC6063" w:rsidRDefault="00BC6063" w:rsidP="00BC6063">
      <w:pPr>
        <w:spacing w:after="203" w:line="259" w:lineRule="auto"/>
        <w:ind w:right="496"/>
        <w:jc w:val="right"/>
      </w:pPr>
      <w:r>
        <w:t xml:space="preserve">zapsaná v obchodním rejstříku vedeném […] soudem v […], oddíl […], vložka […] </w:t>
      </w:r>
    </w:p>
    <w:p w14:paraId="21879BC6" w14:textId="77777777" w:rsidR="00BC6063" w:rsidRDefault="00BC6063" w:rsidP="00BC6063">
      <w:pPr>
        <w:spacing w:after="196" w:line="261" w:lineRule="auto"/>
        <w:ind w:left="827" w:right="821"/>
        <w:jc w:val="center"/>
      </w:pPr>
      <w:r>
        <w:t xml:space="preserve">zastoupená […] </w:t>
      </w:r>
    </w:p>
    <w:p w14:paraId="6A6FCC13" w14:textId="77777777" w:rsidR="00BC6063" w:rsidRDefault="00BC6063" w:rsidP="00BC6063">
      <w:pPr>
        <w:spacing w:after="150"/>
        <w:ind w:left="1469" w:right="0"/>
      </w:pPr>
      <w:r>
        <w:t>(jako poskytovatel energetických služeb dále jen jako „</w:t>
      </w:r>
      <w:r>
        <w:rPr>
          <w:b/>
        </w:rPr>
        <w:t>ESCO</w:t>
      </w:r>
      <w:r>
        <w:t xml:space="preserve">“) </w:t>
      </w:r>
    </w:p>
    <w:p w14:paraId="5DF4EA3D" w14:textId="77777777" w:rsidR="00BC6063" w:rsidRDefault="00BC6063" w:rsidP="00BC6063">
      <w:pPr>
        <w:spacing w:after="158" w:line="259" w:lineRule="auto"/>
        <w:ind w:left="55" w:right="0" w:firstLine="0"/>
        <w:jc w:val="center"/>
      </w:pPr>
      <w:r>
        <w:t xml:space="preserve"> </w:t>
      </w:r>
    </w:p>
    <w:p w14:paraId="17CB113C" w14:textId="77777777" w:rsidR="00BC6063" w:rsidRDefault="00BC6063" w:rsidP="00BC6063">
      <w:pPr>
        <w:spacing w:after="201" w:line="261" w:lineRule="auto"/>
        <w:ind w:left="827" w:right="820"/>
        <w:jc w:val="center"/>
      </w:pPr>
      <w:r>
        <w:t xml:space="preserve">a </w:t>
      </w:r>
    </w:p>
    <w:p w14:paraId="6460F3ED" w14:textId="77777777" w:rsidR="00BC6063" w:rsidRDefault="00BC6063" w:rsidP="00BC6063">
      <w:pPr>
        <w:pStyle w:val="Nadpis2"/>
        <w:ind w:left="715" w:right="712"/>
      </w:pPr>
      <w:r>
        <w:t xml:space="preserve">[…] </w:t>
      </w:r>
    </w:p>
    <w:p w14:paraId="767AAFB9" w14:textId="77777777" w:rsidR="00BC6063" w:rsidRDefault="00BC6063" w:rsidP="00BC6063">
      <w:pPr>
        <w:spacing w:after="1" w:line="435" w:lineRule="auto"/>
        <w:ind w:left="3865" w:right="3862"/>
        <w:jc w:val="center"/>
      </w:pPr>
      <w:r>
        <w:t xml:space="preserve">IČ: […] se sídlem […] </w:t>
      </w:r>
    </w:p>
    <w:p w14:paraId="5BB44A3C" w14:textId="77777777" w:rsidR="00BC6063" w:rsidRDefault="00BC6063" w:rsidP="00BC6063">
      <w:pPr>
        <w:spacing w:after="203" w:line="259" w:lineRule="auto"/>
        <w:ind w:right="496"/>
        <w:jc w:val="right"/>
      </w:pPr>
      <w:r>
        <w:t xml:space="preserve">zapsaná v obchodním rejstříku vedeném […] soudem v […], oddíl […], vložka […] </w:t>
      </w:r>
    </w:p>
    <w:p w14:paraId="2E90CDB8" w14:textId="77777777" w:rsidR="00BC6063" w:rsidRDefault="00BC6063" w:rsidP="00BC6063">
      <w:pPr>
        <w:spacing w:after="184" w:line="261" w:lineRule="auto"/>
        <w:ind w:left="827" w:right="821"/>
        <w:jc w:val="center"/>
      </w:pPr>
      <w:r>
        <w:t xml:space="preserve">zastoupená […] </w:t>
      </w:r>
    </w:p>
    <w:p w14:paraId="0430D13B" w14:textId="77777777" w:rsidR="00BC6063" w:rsidRDefault="00BC6063" w:rsidP="00BC6063">
      <w:pPr>
        <w:spacing w:after="152" w:line="261" w:lineRule="auto"/>
        <w:ind w:left="827" w:right="825"/>
        <w:jc w:val="center"/>
      </w:pPr>
      <w:r>
        <w:t>(dále jen „</w:t>
      </w:r>
      <w:r>
        <w:rPr>
          <w:b/>
        </w:rPr>
        <w:t>Klient</w:t>
      </w:r>
      <w:r>
        <w:t xml:space="preserve">“) </w:t>
      </w:r>
    </w:p>
    <w:p w14:paraId="5FD77F8D" w14:textId="77777777" w:rsidR="00BC6063" w:rsidRDefault="00BC6063" w:rsidP="00BC6063">
      <w:pPr>
        <w:spacing w:after="158" w:line="259" w:lineRule="auto"/>
        <w:ind w:left="55" w:right="0" w:firstLine="0"/>
        <w:jc w:val="center"/>
      </w:pPr>
      <w:r>
        <w:t xml:space="preserve"> </w:t>
      </w:r>
    </w:p>
    <w:p w14:paraId="69452A1F" w14:textId="77777777" w:rsidR="00BC6063" w:rsidRDefault="00BC6063" w:rsidP="00BC6063">
      <w:pPr>
        <w:spacing w:after="192" w:line="261" w:lineRule="auto"/>
        <w:ind w:left="827" w:right="820"/>
        <w:jc w:val="center"/>
      </w:pPr>
      <w:r>
        <w:t xml:space="preserve">a </w:t>
      </w:r>
    </w:p>
    <w:p w14:paraId="1D6DE8AA" w14:textId="77777777" w:rsidR="00BC6063" w:rsidRDefault="00BC6063" w:rsidP="00BC6063">
      <w:pPr>
        <w:pStyle w:val="Nadpis2"/>
        <w:ind w:left="715" w:right="713"/>
      </w:pPr>
      <w:r>
        <w:t xml:space="preserve">[…] </w:t>
      </w:r>
    </w:p>
    <w:p w14:paraId="1C838FD6" w14:textId="77777777" w:rsidR="00BC6063" w:rsidRDefault="00BC6063" w:rsidP="00BC6063">
      <w:pPr>
        <w:spacing w:after="1" w:line="435" w:lineRule="auto"/>
        <w:ind w:left="3865" w:right="3862"/>
        <w:jc w:val="center"/>
      </w:pPr>
      <w:r>
        <w:t xml:space="preserve">IČ: […] se sídlem […] </w:t>
      </w:r>
    </w:p>
    <w:p w14:paraId="7E31C28E" w14:textId="77777777" w:rsidR="00BC6063" w:rsidRDefault="00BC6063" w:rsidP="00BC6063">
      <w:pPr>
        <w:spacing w:after="203" w:line="259" w:lineRule="auto"/>
        <w:ind w:right="496"/>
        <w:jc w:val="right"/>
      </w:pPr>
      <w:r>
        <w:t xml:space="preserve">zapsaná v obchodním rejstříku vedeném […] soudem v […], oddíl […], vložka […] </w:t>
      </w:r>
    </w:p>
    <w:p w14:paraId="5601BC2B" w14:textId="77777777" w:rsidR="00BC6063" w:rsidRDefault="00BC6063" w:rsidP="00BC6063">
      <w:pPr>
        <w:spacing w:after="184" w:line="261" w:lineRule="auto"/>
        <w:ind w:left="827" w:right="821"/>
        <w:jc w:val="center"/>
      </w:pPr>
      <w:r>
        <w:t xml:space="preserve">zastoupená […] </w:t>
      </w:r>
    </w:p>
    <w:p w14:paraId="1B9C9DC2" w14:textId="77777777" w:rsidR="00BC6063" w:rsidRDefault="00BC6063" w:rsidP="00BC6063">
      <w:pPr>
        <w:spacing w:after="152" w:line="261" w:lineRule="auto"/>
        <w:ind w:left="827" w:right="820"/>
        <w:jc w:val="center"/>
      </w:pPr>
      <w:r>
        <w:t>(dále jen „</w:t>
      </w:r>
      <w:r>
        <w:rPr>
          <w:b/>
        </w:rPr>
        <w:t>Banka</w:t>
      </w:r>
      <w:r>
        <w:t xml:space="preserve">“) </w:t>
      </w:r>
    </w:p>
    <w:p w14:paraId="625CD0AD" w14:textId="77777777" w:rsidR="00BC6063" w:rsidRDefault="00BC6063" w:rsidP="00BC6063">
      <w:pPr>
        <w:spacing w:after="206" w:line="259" w:lineRule="auto"/>
        <w:ind w:left="55" w:right="0" w:firstLine="0"/>
        <w:jc w:val="center"/>
      </w:pPr>
      <w:r>
        <w:lastRenderedPageBreak/>
        <w:t xml:space="preserve"> </w:t>
      </w:r>
    </w:p>
    <w:p w14:paraId="1DBE5557" w14:textId="77777777" w:rsidR="00BC6063" w:rsidRDefault="00BC6063" w:rsidP="00BC6063">
      <w:pPr>
        <w:spacing w:after="150"/>
        <w:ind w:left="1661" w:right="0"/>
      </w:pPr>
      <w:r>
        <w:t>(ESCO, Klient a Banka společně též jen „</w:t>
      </w:r>
      <w:r>
        <w:rPr>
          <w:b/>
        </w:rPr>
        <w:t>Smluvní strany</w:t>
      </w:r>
      <w:r>
        <w:t xml:space="preserve">“) </w:t>
      </w:r>
    </w:p>
    <w:p w14:paraId="29DCB1F0" w14:textId="77777777" w:rsidR="00BC6063" w:rsidRDefault="00BC6063" w:rsidP="00BC6063">
      <w:pPr>
        <w:spacing w:after="141" w:line="259" w:lineRule="auto"/>
        <w:ind w:left="55" w:right="0" w:firstLine="0"/>
        <w:jc w:val="center"/>
      </w:pPr>
      <w:r>
        <w:t xml:space="preserve"> </w:t>
      </w:r>
    </w:p>
    <w:p w14:paraId="12A31B08" w14:textId="77777777" w:rsidR="00BC6063" w:rsidRDefault="00BC6063" w:rsidP="00BC6063">
      <w:pPr>
        <w:spacing w:after="103" w:line="259" w:lineRule="auto"/>
        <w:ind w:left="-5" w:right="0"/>
        <w:jc w:val="left"/>
      </w:pPr>
      <w:r>
        <w:rPr>
          <w:b/>
          <w:sz w:val="22"/>
        </w:rPr>
        <w:t xml:space="preserve">PREAMBULE </w:t>
      </w:r>
    </w:p>
    <w:p w14:paraId="1650C964" w14:textId="77777777" w:rsidR="00BC6063" w:rsidRDefault="00BC6063" w:rsidP="00BC6063">
      <w:pPr>
        <w:spacing w:after="103" w:line="259" w:lineRule="auto"/>
        <w:ind w:left="-5" w:right="0"/>
        <w:jc w:val="left"/>
      </w:pPr>
      <w:r>
        <w:rPr>
          <w:b/>
          <w:sz w:val="22"/>
        </w:rPr>
        <w:t xml:space="preserve">VZHLEDEM K TOMU, ŽE: </w:t>
      </w:r>
    </w:p>
    <w:p w14:paraId="344ABFBF" w14:textId="77777777" w:rsidR="00BC6063" w:rsidRDefault="00BC6063" w:rsidP="00BC6063">
      <w:pPr>
        <w:numPr>
          <w:ilvl w:val="0"/>
          <w:numId w:val="1"/>
        </w:numPr>
        <w:spacing w:after="32"/>
        <w:ind w:right="0" w:hanging="360"/>
      </w:pPr>
      <w:r>
        <w:t xml:space="preserve">ESCO je společností zabývající se poskytováním služeb a poradenstvím v oblasti energetiky a životního prostředí; </w:t>
      </w:r>
    </w:p>
    <w:p w14:paraId="32AAC1A1" w14:textId="77777777" w:rsidR="00BC6063" w:rsidRDefault="00BC6063" w:rsidP="00BC6063">
      <w:pPr>
        <w:numPr>
          <w:ilvl w:val="0"/>
          <w:numId w:val="1"/>
        </w:numPr>
        <w:spacing w:after="32"/>
        <w:ind w:right="0" w:hanging="360"/>
      </w:pPr>
      <w:r>
        <w:t xml:space="preserve">Klient je výlučným vlastníkem pozemku </w:t>
      </w:r>
      <w:proofErr w:type="spellStart"/>
      <w:r>
        <w:t>parc</w:t>
      </w:r>
      <w:proofErr w:type="spellEnd"/>
      <w:r>
        <w:t xml:space="preserve">. č. […], zastavěná plocha a nádvoří, jehož součástí je budova č.p. […], vše v k.ú. […], obec […], zapsáno na LV č. […] u Katastrálního úřadu pro […], katastrální pracoviště […] (dále jen „Budova“); </w:t>
      </w:r>
    </w:p>
    <w:p w14:paraId="5BD2FCA7" w14:textId="77777777" w:rsidR="00BC6063" w:rsidRDefault="00BC6063" w:rsidP="00BC6063">
      <w:pPr>
        <w:numPr>
          <w:ilvl w:val="0"/>
          <w:numId w:val="1"/>
        </w:numPr>
        <w:ind w:right="0" w:hanging="360"/>
      </w:pPr>
      <w:r>
        <w:t xml:space="preserve">ESCO uzavřelo dne […] s Klientem smlouvu o poskytování energetických služeb se zaručeným výsledkem pro veřejné zadavatele dle ust. § 10e odst. 1 zákona č. 406/2000 Sb., o hospodaření energií, v platném znění (dále jen „zákon o hospodaření energií“), ve spojení s ust. § 1746 odst. 2 občanského zákoníku (dále jen „Smlouva EPC“), jíž se ESCO zavázalo provést projektový cíl, kterým je dosažení zvýšení energetické účinnosti a snížení provozních nákladů v Budově, a to prostřednictvím realizace energetických služeb se zaručeným výsledkem dle § 2 odst. 2 písm. o) ve spojení s § 10e zákona o hospodaření energií, spočívajících v: a) realizaci předběžných činností; b) na nich navazující realizaci základních opatření; c) poskytování energetického managementu v objektech a poskytování dalších souvisejících činností a služeb zahrnujících provedení dodatečných opatření; d) poskytování záruky za dosažení smluvně garantovaných úspor; a to vše po dobu trvání Smlouvy EPC, v rozsahu a za podmínek specifikovaných ve Smlouvě EPC (dále souhrnně též jako „Projekt“); </w:t>
      </w:r>
    </w:p>
    <w:p w14:paraId="4833713A" w14:textId="77777777" w:rsidR="00BC6063" w:rsidRDefault="00BC6063" w:rsidP="00BC6063">
      <w:pPr>
        <w:numPr>
          <w:ilvl w:val="0"/>
          <w:numId w:val="1"/>
        </w:numPr>
        <w:spacing w:after="32"/>
        <w:ind w:right="0" w:hanging="360"/>
      </w:pPr>
      <w:r>
        <w:t xml:space="preserve">Za realizaci Projektu byla mezi ESCO a Klientem ve Smlouvě EPC sjednána úplata v celkové výši […] Kč (slovy: […] korun českých) včetně DPH (dále jen „Úplata za EPC Projekt“), která byla Klientovi vyúčtována ve faktuře č. […], vystavené dne […]  která byla Klientovi doručena dne […];  </w:t>
      </w:r>
    </w:p>
    <w:p w14:paraId="788BA0BF" w14:textId="77777777" w:rsidR="00BC6063" w:rsidRDefault="00BC6063" w:rsidP="00BC6063">
      <w:pPr>
        <w:numPr>
          <w:ilvl w:val="0"/>
          <w:numId w:val="1"/>
        </w:numPr>
        <w:spacing w:after="34"/>
        <w:ind w:right="0" w:hanging="360"/>
      </w:pPr>
      <w:r>
        <w:t xml:space="preserve">Část Úplaty za EPC Projekt ve výši […] Kč (slovy: […] korun českých) včetně/bez </w:t>
      </w:r>
      <w:proofErr w:type="gramStart"/>
      <w:r>
        <w:t>DPH  (</w:t>
      </w:r>
      <w:proofErr w:type="gramEnd"/>
      <w:r>
        <w:t xml:space="preserve">dále jen „Dotace“) [může být/bude] Klientovi profinancována Evropskými strukturálními investičními fondy v rámci dotačního programu  Ministerstva průmyslu a obchodu (dále jen „MPO“) pro Podnikání a inovace pro konkurenceschopnost (dále jen „OPPIK“); </w:t>
      </w:r>
    </w:p>
    <w:p w14:paraId="1FA2C80F" w14:textId="77777777" w:rsidR="00BC6063" w:rsidRDefault="00BC6063" w:rsidP="00BC6063">
      <w:pPr>
        <w:numPr>
          <w:ilvl w:val="0"/>
          <w:numId w:val="1"/>
        </w:numPr>
        <w:spacing w:after="35"/>
        <w:ind w:right="0" w:hanging="360"/>
      </w:pPr>
      <w:r>
        <w:t xml:space="preserve">ESCO a Banka uzavřely dne […] 2020 Smlouvu o budoucím postoupení pohledávek č. […] (dále jen „Smlouva o budoucím postoupení pohledávek“), podle které má být po splnění požadovaných podmínek mezi ESCO a Bankou uzavřena Smlouva o postoupení pohledávek (dále jen „Smlouva o postoupení pohledávek“), kterou ESCO na Banku </w:t>
      </w:r>
      <w:proofErr w:type="gramStart"/>
      <w:r>
        <w:t>postoupí  pohledávky</w:t>
      </w:r>
      <w:proofErr w:type="gramEnd"/>
      <w:r>
        <w:t xml:space="preserve"> vůči Klientovi na úhradu Úplaty za EPC Projekt  (dále jen „Postupovaná pohledávka“). Podmínkou vyplacení úplaty za Postupovanou pohledávku (dále jen „Úplata za postoupenou pohledávku“), která má být vyplacena Bankou společnosti ESCO v souladu se Smlouvou o postoupení pohledávky, je kromě jiného uzavření této Dohody a předložení Klientem Bance vystaveného uznání dluhu odpovídajícího Postupované pohledávce; </w:t>
      </w:r>
    </w:p>
    <w:p w14:paraId="42E1A6EA" w14:textId="77777777" w:rsidR="00BC6063" w:rsidRDefault="00BC6063" w:rsidP="00BC6063">
      <w:pPr>
        <w:numPr>
          <w:ilvl w:val="0"/>
          <w:numId w:val="1"/>
        </w:numPr>
        <w:spacing w:after="32"/>
        <w:ind w:right="0" w:hanging="360"/>
      </w:pPr>
      <w:r>
        <w:lastRenderedPageBreak/>
        <w:t xml:space="preserve">ESCO informovalo Klienta o svém úmyslu postoupit na Banku Postupovanou pohledávku a Klient proti takovému postupu neměl výhrady a s postoupením Postupované pohledávky na Banku souhlasil;   </w:t>
      </w:r>
    </w:p>
    <w:p w14:paraId="65CD3313" w14:textId="77777777" w:rsidR="00BC6063" w:rsidRDefault="00BC6063" w:rsidP="00BC6063">
      <w:pPr>
        <w:numPr>
          <w:ilvl w:val="0"/>
          <w:numId w:val="1"/>
        </w:numPr>
        <w:spacing w:after="32"/>
        <w:ind w:right="0" w:hanging="360"/>
      </w:pPr>
      <w:r>
        <w:t xml:space="preserve">Smluvní strany mají zájem sjednat </w:t>
      </w:r>
      <w:proofErr w:type="gramStart"/>
      <w:r>
        <w:t>na  Úplatu</w:t>
      </w:r>
      <w:proofErr w:type="gramEnd"/>
      <w:r>
        <w:t xml:space="preserve"> za EPC Projekt, úhradu odloženými platbami formou splátek s tím, že jedna mimořádná splátka (dále jen „Mimořádná splátka“) bude odpovídat výši Dotace, jak je definována níže; </w:t>
      </w:r>
    </w:p>
    <w:p w14:paraId="0C2D5877" w14:textId="77777777" w:rsidR="00BC6063" w:rsidRDefault="00BC6063" w:rsidP="00BC6063">
      <w:pPr>
        <w:numPr>
          <w:ilvl w:val="0"/>
          <w:numId w:val="1"/>
        </w:numPr>
        <w:ind w:right="0" w:hanging="360"/>
      </w:pPr>
      <w:r>
        <w:t xml:space="preserve">Smluvní strany mají zájem, aby Klient poté, co bude čerpat Dotaci, tuto použil na úhradu Mimořádné splátky Bance;  </w:t>
      </w:r>
    </w:p>
    <w:p w14:paraId="42A78AAC" w14:textId="77777777" w:rsidR="00BC6063" w:rsidRDefault="00BC6063" w:rsidP="00BC6063">
      <w:pPr>
        <w:numPr>
          <w:ilvl w:val="0"/>
          <w:numId w:val="1"/>
        </w:numPr>
        <w:ind w:right="0" w:hanging="360"/>
      </w:pPr>
      <w:r>
        <w:t xml:space="preserve">Smluvní strany mají v úmyslu si touto Dohodou upravit svá vzájemná práva a povinnosti, jakož i další podmínky související s postoupením Postupované pohledávky a vyplacením Dotace a jejím použití na Mimořádnou splátku Úplaty za EPC Projekt, jak je stanoveno níže; </w:t>
      </w:r>
    </w:p>
    <w:p w14:paraId="307FC03A" w14:textId="77777777" w:rsidR="00BC6063" w:rsidRDefault="00BC6063" w:rsidP="00BC6063">
      <w:pPr>
        <w:spacing w:after="41" w:line="259" w:lineRule="auto"/>
        <w:ind w:left="358" w:right="0" w:firstLine="0"/>
        <w:jc w:val="left"/>
      </w:pPr>
      <w:r>
        <w:rPr>
          <w:sz w:val="22"/>
        </w:rPr>
        <w:t xml:space="preserve"> </w:t>
      </w:r>
    </w:p>
    <w:p w14:paraId="2FFE3F72" w14:textId="77777777" w:rsidR="00BC6063" w:rsidRDefault="00BC6063" w:rsidP="00BC6063">
      <w:pPr>
        <w:spacing w:after="144" w:line="271" w:lineRule="auto"/>
        <w:ind w:right="0"/>
      </w:pPr>
      <w:r>
        <w:rPr>
          <w:b/>
          <w:sz w:val="22"/>
        </w:rPr>
        <w:t>UZAVŘELY</w:t>
      </w:r>
      <w:r>
        <w:rPr>
          <w:sz w:val="22"/>
        </w:rPr>
        <w:t xml:space="preserve"> Smluvní strany níže uvedeného dne, měsíce a roku tuto dohodu o společném postupu stran (dále jen „</w:t>
      </w:r>
      <w:r>
        <w:rPr>
          <w:b/>
          <w:sz w:val="22"/>
        </w:rPr>
        <w:t>Dohoda</w:t>
      </w:r>
      <w:r>
        <w:rPr>
          <w:sz w:val="22"/>
        </w:rPr>
        <w:t xml:space="preserve">“) </w:t>
      </w:r>
    </w:p>
    <w:p w14:paraId="47D4D21A" w14:textId="77777777" w:rsidR="00BC6063" w:rsidRDefault="00BC6063" w:rsidP="00BC6063">
      <w:pPr>
        <w:spacing w:after="201" w:line="259" w:lineRule="auto"/>
        <w:ind w:left="0" w:right="0" w:firstLine="0"/>
        <w:jc w:val="left"/>
      </w:pPr>
      <w:r>
        <w:rPr>
          <w:sz w:val="22"/>
        </w:rPr>
        <w:t xml:space="preserve"> </w:t>
      </w:r>
    </w:p>
    <w:p w14:paraId="4A8D198B" w14:textId="77777777" w:rsidR="00BC6063" w:rsidRDefault="00BC6063" w:rsidP="00BC6063">
      <w:pPr>
        <w:numPr>
          <w:ilvl w:val="0"/>
          <w:numId w:val="2"/>
        </w:numPr>
        <w:spacing w:after="43"/>
        <w:ind w:right="0" w:hanging="360"/>
      </w:pPr>
      <w:r>
        <w:rPr>
          <w:b/>
          <w:sz w:val="22"/>
        </w:rPr>
        <w:t xml:space="preserve">Prohlášení smluvních stran </w:t>
      </w:r>
      <w:r>
        <w:t>K.</w:t>
      </w:r>
      <w:r>
        <w:rPr>
          <w:rFonts w:ascii="Arial" w:eastAsia="Arial" w:hAnsi="Arial" w:cs="Arial"/>
        </w:rPr>
        <w:t xml:space="preserve"> </w:t>
      </w:r>
      <w:r>
        <w:t xml:space="preserve">ESCO a Klient prohlašují, že ESCO na základě Smlouvy EPC vznikla vůči Klientovi pohledávka na úhradu Úplaty za EPC Projekt. Klient prohlašuje, že při podpisu Smlouvy EPC souhlasil s tím, že pohledávka ESCO na úhradu Úplaty za EPC Projekt, bude v plné výši postoupena na Banku.  </w:t>
      </w:r>
    </w:p>
    <w:p w14:paraId="2219CB21" w14:textId="77777777" w:rsidR="00BC6063" w:rsidRDefault="00BC6063" w:rsidP="00BC6063">
      <w:pPr>
        <w:numPr>
          <w:ilvl w:val="2"/>
          <w:numId w:val="3"/>
        </w:numPr>
        <w:spacing w:after="35"/>
        <w:ind w:right="0" w:hanging="360"/>
      </w:pPr>
      <w:r>
        <w:t xml:space="preserve">Klient prohlašuje, že část Úplaty za EPC Projekt ve výši Dotace mu bude profinancována prostřednictvím čerpání Dotace, přičemž podmínkou pro vyplacení Dotace je podání Klientem žádosti o platbu a poskytnutí MPO výpisu z bankovního účtu ESCO, který bude potvrzovat přijetí Úplaty za postoupenou pohledávku od Banky (dále jen „Výpis“).  </w:t>
      </w:r>
    </w:p>
    <w:p w14:paraId="52927E77" w14:textId="77777777" w:rsidR="00BC6063" w:rsidRDefault="00BC6063" w:rsidP="00BC6063">
      <w:pPr>
        <w:numPr>
          <w:ilvl w:val="2"/>
          <w:numId w:val="3"/>
        </w:numPr>
        <w:spacing w:after="35"/>
        <w:ind w:right="0" w:hanging="360"/>
      </w:pPr>
      <w:r>
        <w:t xml:space="preserve">Smluvní strany prohlašují, že výše Dotace odpovídá výši Mimořádné splátky a bude Klientem po jejím připsání na účet Klienta bezodkladně použita za účelem úhrady Mimořádné splátky Bance.   </w:t>
      </w:r>
    </w:p>
    <w:p w14:paraId="590A6E06" w14:textId="77777777" w:rsidR="00BC6063" w:rsidRDefault="00BC6063" w:rsidP="00BC6063">
      <w:pPr>
        <w:numPr>
          <w:ilvl w:val="2"/>
          <w:numId w:val="3"/>
        </w:numPr>
        <w:ind w:right="0" w:hanging="360"/>
      </w:pPr>
      <w:r>
        <w:t xml:space="preserve">ESCO a Banka prohlašují, že podmínkou vyplacení Úplaty za postoupenou pohledávku je uzavření této Dohody, uznání dluhu Klienta odpovídajícího Postupované pohledávce a uzavření Smlouvy o postoupení pohledávek. Pokud budou splněny všechny podmínky pro vyplacení Úplaty za postoupenou pohledávku, je Úplata za postoupenou pohledávku splatná do [...] 2020.  </w:t>
      </w:r>
    </w:p>
    <w:p w14:paraId="002BD15F" w14:textId="77777777" w:rsidR="00BC6063" w:rsidRDefault="00BC6063" w:rsidP="00BC6063">
      <w:pPr>
        <w:spacing w:after="158" w:line="259" w:lineRule="auto"/>
        <w:ind w:left="0" w:right="0" w:firstLine="0"/>
        <w:jc w:val="left"/>
      </w:pPr>
      <w:r>
        <w:rPr>
          <w:sz w:val="22"/>
        </w:rPr>
        <w:t xml:space="preserve"> </w:t>
      </w:r>
    </w:p>
    <w:p w14:paraId="2C0BE049" w14:textId="77777777" w:rsidR="00BC6063" w:rsidRDefault="00BC6063" w:rsidP="00BC6063">
      <w:pPr>
        <w:spacing w:after="224" w:line="259" w:lineRule="auto"/>
        <w:ind w:left="0" w:right="0" w:firstLine="0"/>
        <w:jc w:val="left"/>
      </w:pPr>
      <w:r>
        <w:rPr>
          <w:sz w:val="22"/>
        </w:rPr>
        <w:t xml:space="preserve">   </w:t>
      </w:r>
    </w:p>
    <w:p w14:paraId="5EA821E4" w14:textId="77777777" w:rsidR="00BC6063" w:rsidRDefault="00BC6063" w:rsidP="00BC6063">
      <w:pPr>
        <w:numPr>
          <w:ilvl w:val="0"/>
          <w:numId w:val="2"/>
        </w:numPr>
        <w:spacing w:after="191"/>
        <w:ind w:right="0" w:hanging="360"/>
      </w:pPr>
      <w:r>
        <w:rPr>
          <w:b/>
        </w:rPr>
        <w:t xml:space="preserve">Uznání dluhu a uzavření splátkového kalendáře </w:t>
      </w:r>
      <w:r>
        <w:t>2.1.</w:t>
      </w:r>
      <w:r>
        <w:rPr>
          <w:rFonts w:ascii="Arial" w:eastAsia="Arial" w:hAnsi="Arial" w:cs="Arial"/>
        </w:rPr>
        <w:t xml:space="preserve"> </w:t>
      </w:r>
      <w:r>
        <w:t xml:space="preserve">Klient se zavazuje, že v návaznosti na Smlouvu EPC a následné uzavření Smlouvy o postoupení pohledávky mezi ESCO a Bankou bez zbytečného odkladu, nejpozději však do [5] pracovních dnů od doručení oznámení ESCO o postoupení Postupované  pohledávky, vystaví ve prospěch Banky a předá Bance uznání dluhu odpovídajícího Postupované pohledávce, dle vzoru uvedeného v Příloze 2 této Dohody (s případnými úpravami faktických údajů tak, aby obsah uznání dluhu odpovídal skutečnosti). </w:t>
      </w:r>
    </w:p>
    <w:p w14:paraId="73291A17" w14:textId="77777777" w:rsidR="00BC6063" w:rsidRDefault="00BC6063" w:rsidP="00BC6063">
      <w:pPr>
        <w:spacing w:after="124"/>
        <w:ind w:left="792" w:right="0" w:hanging="432"/>
      </w:pPr>
      <w:r>
        <w:lastRenderedPageBreak/>
        <w:t>2.2.</w:t>
      </w:r>
      <w:r>
        <w:rPr>
          <w:rFonts w:ascii="Arial" w:eastAsia="Arial" w:hAnsi="Arial" w:cs="Arial"/>
        </w:rPr>
        <w:t xml:space="preserve"> </w:t>
      </w:r>
      <w:r>
        <w:t xml:space="preserve">Smluvní strany se dohodly na tom, že Klient bude povinen splácet Postupovanou pohledávku ve splátkách dle splátkového kalendáře, jež tvoří Přílohu 1 této Dohody.  </w:t>
      </w:r>
    </w:p>
    <w:p w14:paraId="0ADAE4A3" w14:textId="77777777" w:rsidR="00BC6063" w:rsidRDefault="00BC6063" w:rsidP="00BC6063">
      <w:pPr>
        <w:spacing w:after="0" w:line="259" w:lineRule="auto"/>
        <w:ind w:left="0" w:right="0" w:firstLine="0"/>
        <w:jc w:val="left"/>
      </w:pPr>
      <w:r>
        <w:rPr>
          <w:sz w:val="22"/>
        </w:rPr>
        <w:t xml:space="preserve"> </w:t>
      </w:r>
    </w:p>
    <w:p w14:paraId="0A81F37F" w14:textId="77777777" w:rsidR="00BC6063" w:rsidRDefault="00BC6063" w:rsidP="00BC6063">
      <w:pPr>
        <w:spacing w:after="224" w:line="259" w:lineRule="auto"/>
        <w:ind w:left="792" w:right="0" w:firstLine="0"/>
        <w:jc w:val="left"/>
      </w:pPr>
      <w:r>
        <w:rPr>
          <w:sz w:val="22"/>
        </w:rPr>
        <w:t xml:space="preserve"> </w:t>
      </w:r>
    </w:p>
    <w:p w14:paraId="3666FE0B" w14:textId="77777777" w:rsidR="00BC6063" w:rsidRDefault="00BC6063" w:rsidP="00BC6063">
      <w:pPr>
        <w:numPr>
          <w:ilvl w:val="0"/>
          <w:numId w:val="2"/>
        </w:numPr>
        <w:spacing w:after="186" w:line="264" w:lineRule="auto"/>
        <w:ind w:right="0" w:hanging="360"/>
      </w:pPr>
      <w:r>
        <w:rPr>
          <w:b/>
        </w:rPr>
        <w:t xml:space="preserve">Závazky smluvních stran </w:t>
      </w:r>
    </w:p>
    <w:p w14:paraId="282CBA99" w14:textId="77777777" w:rsidR="00BC6063" w:rsidRDefault="00BC6063" w:rsidP="00BC6063">
      <w:pPr>
        <w:numPr>
          <w:ilvl w:val="1"/>
          <w:numId w:val="2"/>
        </w:numPr>
        <w:spacing w:after="38"/>
        <w:ind w:right="0" w:hanging="432"/>
      </w:pPr>
      <w:r>
        <w:t xml:space="preserve">ESCO se zavazuje poskytnout Klientovi ve lhůtě [5] pracovních dnů ode dne připsání </w:t>
      </w:r>
    </w:p>
    <w:p w14:paraId="56FF47D0" w14:textId="77777777" w:rsidR="00BC6063" w:rsidRDefault="00BC6063" w:rsidP="00BC6063">
      <w:pPr>
        <w:spacing w:after="203" w:line="259" w:lineRule="auto"/>
        <w:ind w:right="6"/>
        <w:jc w:val="right"/>
      </w:pPr>
      <w:r>
        <w:t xml:space="preserve">Úplaty za postoupenou pohledávky kopii Výpisu, a to zasláním Výpisu na adresu: [...]. </w:t>
      </w:r>
    </w:p>
    <w:p w14:paraId="1A72D44D" w14:textId="77777777" w:rsidR="00BC6063" w:rsidRDefault="00BC6063" w:rsidP="00BC6063">
      <w:pPr>
        <w:numPr>
          <w:ilvl w:val="1"/>
          <w:numId w:val="2"/>
        </w:numPr>
        <w:spacing w:after="182"/>
        <w:ind w:right="0" w:hanging="432"/>
      </w:pPr>
      <w:r>
        <w:t xml:space="preserve">Banka a ESCO tímto udělují souhlas Klientovi k poskytnutí Výpisu příslušnému poskytovateli, resp. administrátorovi Dotace k doložení úhrady Úplaty za EPC Projekt, provedení obligatorní dokladové finanční kontroly podle pravidel příslušného programu podpory a umožnění tím čerpání Dotace. </w:t>
      </w:r>
    </w:p>
    <w:p w14:paraId="42474A5D" w14:textId="77777777" w:rsidR="00BC6063" w:rsidRDefault="00BC6063" w:rsidP="00BC6063">
      <w:pPr>
        <w:numPr>
          <w:ilvl w:val="1"/>
          <w:numId w:val="2"/>
        </w:numPr>
        <w:spacing w:after="190"/>
        <w:ind w:right="0" w:hanging="432"/>
      </w:pPr>
      <w:r>
        <w:t xml:space="preserve">Klient se po doručení Výpisu od ESCO zavazuje bez zbytečného odkladu požádat o vyplacení Dotace.  </w:t>
      </w:r>
    </w:p>
    <w:p w14:paraId="43FCBB0F" w14:textId="77777777" w:rsidR="00BC6063" w:rsidRDefault="00BC6063" w:rsidP="00BC6063">
      <w:pPr>
        <w:numPr>
          <w:ilvl w:val="1"/>
          <w:numId w:val="2"/>
        </w:numPr>
        <w:spacing w:after="192"/>
        <w:ind w:right="0" w:hanging="432"/>
      </w:pPr>
      <w:r>
        <w:t xml:space="preserve">Klient se dále zavazuje uhradit Bance Mimořádnou splátku, a to nejpozději do [5] pracovních dnů od připsání Dotace na účet Klienta, nebo do data uvedeného ve splátkovém kalendáři, podle toho, co nastane dříve.   </w:t>
      </w:r>
    </w:p>
    <w:p w14:paraId="51A11028" w14:textId="77777777" w:rsidR="00BC6063" w:rsidRDefault="00BC6063" w:rsidP="00BC6063">
      <w:pPr>
        <w:numPr>
          <w:ilvl w:val="1"/>
          <w:numId w:val="2"/>
        </w:numPr>
        <w:spacing w:after="181"/>
        <w:ind w:right="0" w:hanging="432"/>
      </w:pPr>
      <w:r>
        <w:t xml:space="preserve">Pro vyloučení jakýchkoli pochybností tímto ESCO výslovně prohlašuje, že závazek ESCO dle čl. 12, čl. 20 a přílohy 5 Smlouvy EPC, na </w:t>
      </w:r>
      <w:proofErr w:type="gramStart"/>
      <w:r>
        <w:t>základě</w:t>
      </w:r>
      <w:proofErr w:type="gramEnd"/>
      <w:r>
        <w:t xml:space="preserve"> kterého ESCO ručí za sjednaný objem garantovaných úspor specifikovaný ve Smlouvě EPC, touto Dohodou ani na základě Smlouvy o postoupení pohledávek nepřechází na Banku a ESCO nadále v rozsahu sjednaném v čl. 12, čl. 20 a přílohy 5 Smlouvy EPC ručí Klientovi za dosažení garantovaného objemu úspor. Vznikne-li po postoupení pohledávky v souvislosti s ručením za sjednaný objem garantovaných úspor nebo z jiného důvodu jakákoliv splatná pohledávka Klienta vůči ESCO, nejedná se v žádném případě o pohledávku vůči Bance a takovou pohledávku nelze započíst vůči splátkám dle splátkového kalendáře. </w:t>
      </w:r>
    </w:p>
    <w:p w14:paraId="2AF5A2FA" w14:textId="77777777" w:rsidR="00BC6063" w:rsidRDefault="00BC6063" w:rsidP="00BC6063">
      <w:pPr>
        <w:numPr>
          <w:ilvl w:val="1"/>
          <w:numId w:val="2"/>
        </w:numPr>
        <w:spacing w:after="148"/>
        <w:ind w:right="0" w:hanging="432"/>
      </w:pPr>
      <w:r>
        <w:t xml:space="preserve">Klient se zavazuje, až do úplného splacení dluhu – Úplaty za EPC projekt v souladu se splátkovým kalendářem bude Bance předávat své roční finanční a účetní výkazy za poslední uzavřené roční účetní období, a to ve lhůtě [...] dní ode dne ukončení příslušného účetního období. </w:t>
      </w:r>
    </w:p>
    <w:p w14:paraId="2C7A1F7F" w14:textId="77777777" w:rsidR="00BC6063" w:rsidRDefault="00BC6063" w:rsidP="00BC6063">
      <w:pPr>
        <w:spacing w:after="207" w:line="259" w:lineRule="auto"/>
        <w:ind w:left="792" w:right="0" w:firstLine="0"/>
        <w:jc w:val="left"/>
      </w:pPr>
      <w:r>
        <w:t xml:space="preserve"> </w:t>
      </w:r>
    </w:p>
    <w:p w14:paraId="64171A56" w14:textId="77777777" w:rsidR="00BC6063" w:rsidRDefault="00BC6063" w:rsidP="00BC6063">
      <w:pPr>
        <w:numPr>
          <w:ilvl w:val="0"/>
          <w:numId w:val="2"/>
        </w:numPr>
        <w:spacing w:after="199" w:line="264" w:lineRule="auto"/>
        <w:ind w:right="0" w:hanging="360"/>
      </w:pPr>
      <w:r>
        <w:rPr>
          <w:b/>
        </w:rPr>
        <w:t xml:space="preserve">Závěrečná ustanovení </w:t>
      </w:r>
    </w:p>
    <w:p w14:paraId="655A2EDB" w14:textId="77777777" w:rsidR="00BC6063" w:rsidRDefault="00BC6063" w:rsidP="00BC6063">
      <w:pPr>
        <w:numPr>
          <w:ilvl w:val="1"/>
          <w:numId w:val="2"/>
        </w:numPr>
        <w:spacing w:after="189"/>
        <w:ind w:right="0" w:hanging="432"/>
      </w:pPr>
      <w:r>
        <w:t xml:space="preserve">Tuto Dohodu je možno měnit nebo zrušit pouze písemně a se souhlasem všech Smluvních stran.  </w:t>
      </w:r>
    </w:p>
    <w:p w14:paraId="4FC46AB0" w14:textId="77777777" w:rsidR="00BC6063" w:rsidRDefault="00BC6063" w:rsidP="00BC6063">
      <w:pPr>
        <w:numPr>
          <w:ilvl w:val="1"/>
          <w:numId w:val="2"/>
        </w:numPr>
        <w:spacing w:after="172"/>
        <w:ind w:right="0" w:hanging="432"/>
      </w:pPr>
      <w:r>
        <w:t xml:space="preserve">Smluvní strany se zavazují poskytovat si veškerou vzájemnou součinnost nezbytnou k naplnění účelu této Dohody.  </w:t>
      </w:r>
    </w:p>
    <w:p w14:paraId="3D3DC7B1" w14:textId="77777777" w:rsidR="00BC6063" w:rsidRDefault="00BC6063" w:rsidP="00BC6063">
      <w:pPr>
        <w:numPr>
          <w:ilvl w:val="1"/>
          <w:numId w:val="2"/>
        </w:numPr>
        <w:spacing w:after="189" w:line="271" w:lineRule="auto"/>
        <w:ind w:right="0" w:hanging="432"/>
      </w:pPr>
      <w:r>
        <w:rPr>
          <w:sz w:val="22"/>
        </w:rPr>
        <w:lastRenderedPageBreak/>
        <w:t xml:space="preserve">Smluvní strany si sdělily všechny skutkové a právní okolnosti, o nichž Smluvní strany k datu podpisu této Dohody věděly a které jsou relevantní ve vztahu k uzavření této Dohody, Smlouvy o postoupení pohledávek a veškerých souvisejících právních jednání.  </w:t>
      </w:r>
    </w:p>
    <w:p w14:paraId="06229E68" w14:textId="77777777" w:rsidR="00BC6063" w:rsidRDefault="00BC6063" w:rsidP="00BC6063">
      <w:pPr>
        <w:numPr>
          <w:ilvl w:val="1"/>
          <w:numId w:val="2"/>
        </w:numPr>
        <w:spacing w:after="189" w:line="271" w:lineRule="auto"/>
        <w:ind w:right="0" w:hanging="432"/>
      </w:pPr>
      <w:r>
        <w:rPr>
          <w:sz w:val="22"/>
        </w:rPr>
        <w:t xml:space="preserve">Tato Dohoda se řídí českým právním řádem, a to zejména Občanským zákoníkem.  </w:t>
      </w:r>
    </w:p>
    <w:p w14:paraId="7923ABBB" w14:textId="77777777" w:rsidR="00BC6063" w:rsidRDefault="00BC6063" w:rsidP="00BC6063">
      <w:pPr>
        <w:numPr>
          <w:ilvl w:val="1"/>
          <w:numId w:val="2"/>
        </w:numPr>
        <w:spacing w:after="189" w:line="271" w:lineRule="auto"/>
        <w:ind w:right="0" w:hanging="432"/>
      </w:pPr>
      <w:r>
        <w:rPr>
          <w:sz w:val="22"/>
        </w:rPr>
        <w:t xml:space="preserve">Tato Dohoda se vyhotovuje ve třech vyhotoveních, z nichž jedno vyhotovení náleží ESCO, jedno Klientovi a jedno Bance.  </w:t>
      </w:r>
    </w:p>
    <w:p w14:paraId="68802EB9" w14:textId="77777777" w:rsidR="00BC6063" w:rsidRDefault="00BC6063" w:rsidP="00BC6063">
      <w:pPr>
        <w:numPr>
          <w:ilvl w:val="1"/>
          <w:numId w:val="2"/>
        </w:numPr>
        <w:spacing w:after="189" w:line="271" w:lineRule="auto"/>
        <w:ind w:right="0" w:hanging="432"/>
      </w:pPr>
      <w:r>
        <w:rPr>
          <w:sz w:val="22"/>
        </w:rPr>
        <w:t xml:space="preserve">Na důkaz souhlasu s obsahem této Dohody připojují Smluvní strany své podpisy a zároveň prohlašují, že tato Dohoda byla uzavřena z jejich svobodné a vážné vůle, že považují obsah této Dohody za určitý a srozumitelný a že jsou jim známy všechny skutečnosti, jež jsou pro uzavření této Dohody rozhodující.  </w:t>
      </w:r>
    </w:p>
    <w:p w14:paraId="188D70E9" w14:textId="77777777" w:rsidR="00BC6063" w:rsidRDefault="00BC6063" w:rsidP="00BC6063">
      <w:pPr>
        <w:numPr>
          <w:ilvl w:val="1"/>
          <w:numId w:val="2"/>
        </w:numPr>
        <w:spacing w:after="189" w:line="271" w:lineRule="auto"/>
        <w:ind w:right="0" w:hanging="432"/>
      </w:pPr>
      <w:r>
        <w:rPr>
          <w:sz w:val="22"/>
        </w:rPr>
        <w:t xml:space="preserve">Tato Dohoda nabývá platnosti a účinnosti podpisem všemi Smluvními stranami vyjma čl. 2.2 této Dohody, který nabývá účinnosti účinností Smlouvy o postoupení pohledávek. </w:t>
      </w:r>
    </w:p>
    <w:p w14:paraId="05315E3C" w14:textId="77777777" w:rsidR="00BC6063" w:rsidRDefault="00BC6063" w:rsidP="00BC6063">
      <w:pPr>
        <w:numPr>
          <w:ilvl w:val="1"/>
          <w:numId w:val="2"/>
        </w:numPr>
        <w:spacing w:after="189" w:line="271" w:lineRule="auto"/>
        <w:ind w:right="0" w:hanging="432"/>
      </w:pPr>
      <w:r>
        <w:rPr>
          <w:sz w:val="22"/>
        </w:rPr>
        <w:t xml:space="preserve">Součástí této Dohody jsou je následující přílohy: </w:t>
      </w:r>
    </w:p>
    <w:p w14:paraId="51F8D121" w14:textId="77777777" w:rsidR="00BC6063" w:rsidRDefault="00BC6063" w:rsidP="00BC6063">
      <w:pPr>
        <w:spacing w:after="23" w:line="271" w:lineRule="auto"/>
        <w:ind w:left="802" w:right="4813"/>
      </w:pPr>
      <w:r>
        <w:rPr>
          <w:sz w:val="22"/>
        </w:rPr>
        <w:t xml:space="preserve">Příloha 1 – Splátkový </w:t>
      </w:r>
      <w:proofErr w:type="gramStart"/>
      <w:r>
        <w:rPr>
          <w:sz w:val="22"/>
        </w:rPr>
        <w:t>kalendář  Příloha</w:t>
      </w:r>
      <w:proofErr w:type="gramEnd"/>
      <w:r>
        <w:rPr>
          <w:sz w:val="22"/>
        </w:rPr>
        <w:t xml:space="preserve"> 2 – Vzor uznání dluhu </w:t>
      </w:r>
    </w:p>
    <w:p w14:paraId="517BB4B5" w14:textId="77777777" w:rsidR="00BC6063" w:rsidRDefault="00BC6063" w:rsidP="00BC6063">
      <w:pPr>
        <w:spacing w:after="0" w:line="259" w:lineRule="auto"/>
        <w:ind w:left="792" w:right="0" w:firstLine="0"/>
        <w:jc w:val="left"/>
      </w:pPr>
      <w:r>
        <w:rPr>
          <w:sz w:val="22"/>
        </w:rPr>
        <w:t xml:space="preserve"> </w:t>
      </w:r>
    </w:p>
    <w:tbl>
      <w:tblPr>
        <w:tblStyle w:val="TableGrid"/>
        <w:tblW w:w="8790" w:type="dxa"/>
        <w:tblInd w:w="0" w:type="dxa"/>
        <w:tblLook w:val="04A0" w:firstRow="1" w:lastRow="0" w:firstColumn="1" w:lastColumn="0" w:noHBand="0" w:noVBand="1"/>
      </w:tblPr>
      <w:tblGrid>
        <w:gridCol w:w="3541"/>
        <w:gridCol w:w="707"/>
        <w:gridCol w:w="4542"/>
      </w:tblGrid>
      <w:tr w:rsidR="00BC6063" w14:paraId="2D7C48A4" w14:textId="77777777" w:rsidTr="009C1D6A">
        <w:trPr>
          <w:trHeight w:val="851"/>
        </w:trPr>
        <w:tc>
          <w:tcPr>
            <w:tcW w:w="3541" w:type="dxa"/>
            <w:tcBorders>
              <w:top w:val="nil"/>
              <w:left w:val="nil"/>
              <w:bottom w:val="nil"/>
              <w:right w:val="nil"/>
            </w:tcBorders>
          </w:tcPr>
          <w:p w14:paraId="11D055CE" w14:textId="77777777" w:rsidR="00BC6063" w:rsidRDefault="00BC6063" w:rsidP="009C1D6A">
            <w:pPr>
              <w:spacing w:after="14" w:line="259" w:lineRule="auto"/>
              <w:ind w:left="0" w:right="0" w:firstLine="0"/>
              <w:jc w:val="left"/>
            </w:pPr>
            <w:r>
              <w:rPr>
                <w:sz w:val="22"/>
              </w:rPr>
              <w:t xml:space="preserve">V ____________, dne__________ </w:t>
            </w:r>
          </w:p>
          <w:p w14:paraId="00786F58" w14:textId="77777777" w:rsidR="00BC6063" w:rsidRDefault="00BC6063" w:rsidP="009C1D6A">
            <w:pPr>
              <w:spacing w:after="17" w:line="259" w:lineRule="auto"/>
              <w:ind w:left="0" w:right="0" w:firstLine="0"/>
              <w:jc w:val="left"/>
            </w:pPr>
            <w:r>
              <w:rPr>
                <w:sz w:val="22"/>
              </w:rPr>
              <w:t xml:space="preserve"> </w:t>
            </w:r>
          </w:p>
          <w:p w14:paraId="27543C97" w14:textId="77777777" w:rsidR="00BC6063" w:rsidRDefault="00BC6063" w:rsidP="009C1D6A">
            <w:pPr>
              <w:spacing w:after="0" w:line="259" w:lineRule="auto"/>
              <w:ind w:left="0" w:right="0" w:firstLine="0"/>
              <w:jc w:val="left"/>
            </w:pPr>
            <w:r>
              <w:rPr>
                <w:sz w:val="22"/>
              </w:rPr>
              <w:t xml:space="preserve"> </w:t>
            </w:r>
          </w:p>
        </w:tc>
        <w:tc>
          <w:tcPr>
            <w:tcW w:w="708" w:type="dxa"/>
            <w:tcBorders>
              <w:top w:val="nil"/>
              <w:left w:val="nil"/>
              <w:bottom w:val="nil"/>
              <w:right w:val="nil"/>
            </w:tcBorders>
          </w:tcPr>
          <w:p w14:paraId="65A53A7B" w14:textId="77777777" w:rsidR="00BC6063" w:rsidRDefault="00BC6063" w:rsidP="009C1D6A">
            <w:pPr>
              <w:spacing w:after="0" w:line="259" w:lineRule="auto"/>
              <w:ind w:left="0" w:right="0" w:firstLine="0"/>
              <w:jc w:val="left"/>
            </w:pPr>
            <w:r>
              <w:rPr>
                <w:sz w:val="22"/>
              </w:rPr>
              <w:t xml:space="preserve"> </w:t>
            </w:r>
          </w:p>
        </w:tc>
        <w:tc>
          <w:tcPr>
            <w:tcW w:w="4542" w:type="dxa"/>
            <w:tcBorders>
              <w:top w:val="nil"/>
              <w:left w:val="nil"/>
              <w:bottom w:val="nil"/>
              <w:right w:val="nil"/>
            </w:tcBorders>
          </w:tcPr>
          <w:p w14:paraId="0EC16CEC" w14:textId="77777777" w:rsidR="00BC6063" w:rsidRDefault="00BC6063" w:rsidP="009C1D6A">
            <w:pPr>
              <w:tabs>
                <w:tab w:val="right" w:pos="4542"/>
              </w:tabs>
              <w:spacing w:after="0" w:line="259" w:lineRule="auto"/>
              <w:ind w:left="0" w:right="0" w:firstLine="0"/>
              <w:jc w:val="left"/>
            </w:pPr>
            <w:r>
              <w:rPr>
                <w:sz w:val="22"/>
              </w:rPr>
              <w:t xml:space="preserve"> </w:t>
            </w:r>
            <w:r>
              <w:rPr>
                <w:sz w:val="22"/>
              </w:rPr>
              <w:tab/>
              <w:t xml:space="preserve">V _______________, dne _____________ </w:t>
            </w:r>
          </w:p>
        </w:tc>
      </w:tr>
      <w:tr w:rsidR="00BC6063" w14:paraId="034CC047" w14:textId="77777777" w:rsidTr="009C1D6A">
        <w:trPr>
          <w:trHeight w:val="290"/>
        </w:trPr>
        <w:tc>
          <w:tcPr>
            <w:tcW w:w="3541" w:type="dxa"/>
            <w:tcBorders>
              <w:top w:val="nil"/>
              <w:left w:val="nil"/>
              <w:bottom w:val="nil"/>
              <w:right w:val="nil"/>
            </w:tcBorders>
          </w:tcPr>
          <w:p w14:paraId="13FB8A2E" w14:textId="77777777" w:rsidR="00BC6063" w:rsidRDefault="00BC6063" w:rsidP="009C1D6A">
            <w:pPr>
              <w:spacing w:after="0" w:line="259" w:lineRule="auto"/>
              <w:ind w:left="0" w:right="0" w:firstLine="0"/>
              <w:jc w:val="left"/>
            </w:pPr>
            <w:r>
              <w:rPr>
                <w:sz w:val="22"/>
              </w:rPr>
              <w:t xml:space="preserve">____________________________ </w:t>
            </w:r>
          </w:p>
        </w:tc>
        <w:tc>
          <w:tcPr>
            <w:tcW w:w="708" w:type="dxa"/>
            <w:tcBorders>
              <w:top w:val="nil"/>
              <w:left w:val="nil"/>
              <w:bottom w:val="nil"/>
              <w:right w:val="nil"/>
            </w:tcBorders>
          </w:tcPr>
          <w:p w14:paraId="33F0CEF1" w14:textId="77777777" w:rsidR="00BC6063" w:rsidRDefault="00BC6063" w:rsidP="009C1D6A">
            <w:pPr>
              <w:spacing w:after="0" w:line="259" w:lineRule="auto"/>
              <w:ind w:left="0" w:right="0" w:firstLine="0"/>
              <w:jc w:val="left"/>
            </w:pPr>
            <w:r>
              <w:rPr>
                <w:sz w:val="22"/>
              </w:rPr>
              <w:t xml:space="preserve"> </w:t>
            </w:r>
          </w:p>
        </w:tc>
        <w:tc>
          <w:tcPr>
            <w:tcW w:w="4542" w:type="dxa"/>
            <w:tcBorders>
              <w:top w:val="nil"/>
              <w:left w:val="nil"/>
              <w:bottom w:val="nil"/>
              <w:right w:val="nil"/>
            </w:tcBorders>
          </w:tcPr>
          <w:p w14:paraId="383FD149" w14:textId="77777777" w:rsidR="00BC6063" w:rsidRDefault="00BC6063" w:rsidP="009C1D6A">
            <w:pPr>
              <w:tabs>
                <w:tab w:val="right" w:pos="4542"/>
              </w:tabs>
              <w:spacing w:after="0" w:line="259" w:lineRule="auto"/>
              <w:ind w:left="0" w:right="0" w:firstLine="0"/>
              <w:jc w:val="left"/>
            </w:pPr>
            <w:r>
              <w:rPr>
                <w:sz w:val="22"/>
              </w:rPr>
              <w:t xml:space="preserve"> </w:t>
            </w:r>
            <w:r>
              <w:rPr>
                <w:sz w:val="22"/>
              </w:rPr>
              <w:tab/>
              <w:t xml:space="preserve">__________________________________ </w:t>
            </w:r>
          </w:p>
        </w:tc>
      </w:tr>
      <w:tr w:rsidR="00BC6063" w14:paraId="24911B38" w14:textId="77777777" w:rsidTr="009C1D6A">
        <w:trPr>
          <w:trHeight w:val="581"/>
        </w:trPr>
        <w:tc>
          <w:tcPr>
            <w:tcW w:w="3541" w:type="dxa"/>
            <w:tcBorders>
              <w:top w:val="nil"/>
              <w:left w:val="nil"/>
              <w:bottom w:val="nil"/>
              <w:right w:val="nil"/>
            </w:tcBorders>
          </w:tcPr>
          <w:p w14:paraId="327926B5" w14:textId="77777777" w:rsidR="00BC6063" w:rsidRDefault="00BC6063" w:rsidP="009C1D6A">
            <w:pPr>
              <w:tabs>
                <w:tab w:val="center" w:pos="1416"/>
                <w:tab w:val="center" w:pos="2124"/>
                <w:tab w:val="center" w:pos="2833"/>
              </w:tabs>
              <w:spacing w:after="20" w:line="259" w:lineRule="auto"/>
              <w:ind w:left="0" w:right="0" w:firstLine="0"/>
              <w:jc w:val="left"/>
            </w:pPr>
            <w:r>
              <w:rPr>
                <w:sz w:val="22"/>
              </w:rPr>
              <w:t xml:space="preserve">[…] ESCO </w:t>
            </w:r>
            <w:r>
              <w:rPr>
                <w:sz w:val="22"/>
              </w:rPr>
              <w:tab/>
              <w:t xml:space="preserve"> </w:t>
            </w:r>
            <w:r>
              <w:rPr>
                <w:sz w:val="22"/>
              </w:rPr>
              <w:tab/>
              <w:t xml:space="preserve"> </w:t>
            </w:r>
            <w:r>
              <w:rPr>
                <w:sz w:val="22"/>
              </w:rPr>
              <w:tab/>
              <w:t xml:space="preserve"> </w:t>
            </w:r>
          </w:p>
          <w:p w14:paraId="6CCEA919" w14:textId="77777777" w:rsidR="00BC6063" w:rsidRDefault="00BC6063" w:rsidP="009C1D6A">
            <w:pPr>
              <w:spacing w:after="0" w:line="259" w:lineRule="auto"/>
              <w:ind w:left="0" w:right="0" w:firstLine="0"/>
              <w:jc w:val="left"/>
            </w:pPr>
            <w:r>
              <w:rPr>
                <w:sz w:val="22"/>
              </w:rPr>
              <w:t xml:space="preserve"> </w:t>
            </w:r>
          </w:p>
        </w:tc>
        <w:tc>
          <w:tcPr>
            <w:tcW w:w="708" w:type="dxa"/>
            <w:tcBorders>
              <w:top w:val="nil"/>
              <w:left w:val="nil"/>
              <w:bottom w:val="nil"/>
              <w:right w:val="nil"/>
            </w:tcBorders>
          </w:tcPr>
          <w:p w14:paraId="4F3A0F87" w14:textId="77777777" w:rsidR="00BC6063" w:rsidRDefault="00BC6063" w:rsidP="009C1D6A">
            <w:pPr>
              <w:spacing w:after="0" w:line="259" w:lineRule="auto"/>
              <w:ind w:left="0" w:right="0" w:firstLine="0"/>
              <w:jc w:val="left"/>
            </w:pPr>
            <w:r>
              <w:rPr>
                <w:sz w:val="22"/>
              </w:rPr>
              <w:t xml:space="preserve"> </w:t>
            </w:r>
          </w:p>
        </w:tc>
        <w:tc>
          <w:tcPr>
            <w:tcW w:w="4542" w:type="dxa"/>
            <w:tcBorders>
              <w:top w:val="nil"/>
              <w:left w:val="nil"/>
              <w:bottom w:val="nil"/>
              <w:right w:val="nil"/>
            </w:tcBorders>
          </w:tcPr>
          <w:p w14:paraId="01729A2B" w14:textId="77777777" w:rsidR="00BC6063" w:rsidRDefault="00BC6063" w:rsidP="009C1D6A">
            <w:pPr>
              <w:spacing w:after="0" w:line="259" w:lineRule="auto"/>
              <w:ind w:left="0" w:right="0" w:firstLine="0"/>
              <w:jc w:val="left"/>
            </w:pPr>
            <w:r>
              <w:rPr>
                <w:sz w:val="22"/>
              </w:rPr>
              <w:t xml:space="preserve">[…] Klient </w:t>
            </w:r>
          </w:p>
        </w:tc>
      </w:tr>
      <w:tr w:rsidR="00BC6063" w14:paraId="394C2D6D" w14:textId="77777777" w:rsidTr="009C1D6A">
        <w:trPr>
          <w:trHeight w:val="874"/>
        </w:trPr>
        <w:tc>
          <w:tcPr>
            <w:tcW w:w="3541" w:type="dxa"/>
            <w:tcBorders>
              <w:top w:val="nil"/>
              <w:left w:val="nil"/>
              <w:bottom w:val="nil"/>
              <w:right w:val="nil"/>
            </w:tcBorders>
          </w:tcPr>
          <w:p w14:paraId="6DCE04A4" w14:textId="77777777" w:rsidR="00BC6063" w:rsidRDefault="00BC6063" w:rsidP="009C1D6A">
            <w:pPr>
              <w:spacing w:after="17" w:line="259" w:lineRule="auto"/>
              <w:ind w:left="0" w:right="0" w:firstLine="0"/>
              <w:jc w:val="left"/>
            </w:pPr>
            <w:r>
              <w:rPr>
                <w:sz w:val="22"/>
              </w:rPr>
              <w:t xml:space="preserve">V ____________, dne__________ </w:t>
            </w:r>
          </w:p>
          <w:p w14:paraId="1394EFFE" w14:textId="77777777" w:rsidR="00BC6063" w:rsidRDefault="00BC6063" w:rsidP="009C1D6A">
            <w:pPr>
              <w:spacing w:after="14" w:line="259" w:lineRule="auto"/>
              <w:ind w:left="0" w:right="0" w:firstLine="0"/>
              <w:jc w:val="left"/>
            </w:pPr>
            <w:r>
              <w:rPr>
                <w:sz w:val="22"/>
              </w:rPr>
              <w:t xml:space="preserve"> </w:t>
            </w:r>
          </w:p>
          <w:p w14:paraId="53C7AE6D" w14:textId="77777777" w:rsidR="00BC6063" w:rsidRDefault="00BC6063" w:rsidP="009C1D6A">
            <w:pPr>
              <w:spacing w:after="0" w:line="259" w:lineRule="auto"/>
              <w:ind w:left="0" w:right="0" w:firstLine="0"/>
              <w:jc w:val="left"/>
            </w:pPr>
            <w:r>
              <w:rPr>
                <w:sz w:val="22"/>
              </w:rPr>
              <w:t xml:space="preserve"> </w:t>
            </w:r>
          </w:p>
        </w:tc>
        <w:tc>
          <w:tcPr>
            <w:tcW w:w="708" w:type="dxa"/>
            <w:tcBorders>
              <w:top w:val="nil"/>
              <w:left w:val="nil"/>
              <w:bottom w:val="nil"/>
              <w:right w:val="nil"/>
            </w:tcBorders>
          </w:tcPr>
          <w:p w14:paraId="2E7B6C8E" w14:textId="77777777" w:rsidR="00BC6063" w:rsidRDefault="00BC6063" w:rsidP="009C1D6A">
            <w:pPr>
              <w:spacing w:after="0" w:line="259" w:lineRule="auto"/>
              <w:ind w:left="0" w:right="0" w:firstLine="0"/>
              <w:jc w:val="left"/>
            </w:pPr>
            <w:r>
              <w:rPr>
                <w:sz w:val="22"/>
              </w:rPr>
              <w:t xml:space="preserve"> </w:t>
            </w:r>
          </w:p>
        </w:tc>
        <w:tc>
          <w:tcPr>
            <w:tcW w:w="4542" w:type="dxa"/>
            <w:tcBorders>
              <w:top w:val="nil"/>
              <w:left w:val="nil"/>
              <w:bottom w:val="nil"/>
              <w:right w:val="nil"/>
            </w:tcBorders>
          </w:tcPr>
          <w:p w14:paraId="50005F13" w14:textId="77777777" w:rsidR="00BC6063" w:rsidRDefault="00BC6063" w:rsidP="009C1D6A">
            <w:pPr>
              <w:spacing w:after="0" w:line="259" w:lineRule="auto"/>
              <w:ind w:left="0" w:right="0" w:firstLine="0"/>
              <w:jc w:val="left"/>
            </w:pPr>
            <w:r>
              <w:rPr>
                <w:sz w:val="22"/>
              </w:rPr>
              <w:t xml:space="preserve"> </w:t>
            </w:r>
            <w:r>
              <w:rPr>
                <w:sz w:val="22"/>
              </w:rPr>
              <w:tab/>
              <w:t xml:space="preserve"> </w:t>
            </w:r>
          </w:p>
        </w:tc>
      </w:tr>
      <w:tr w:rsidR="00BC6063" w14:paraId="412E3B4A" w14:textId="77777777" w:rsidTr="009C1D6A">
        <w:trPr>
          <w:trHeight w:val="558"/>
        </w:trPr>
        <w:tc>
          <w:tcPr>
            <w:tcW w:w="3541" w:type="dxa"/>
            <w:tcBorders>
              <w:top w:val="nil"/>
              <w:left w:val="nil"/>
              <w:bottom w:val="nil"/>
              <w:right w:val="nil"/>
            </w:tcBorders>
          </w:tcPr>
          <w:p w14:paraId="3A777A0D" w14:textId="77777777" w:rsidR="00BC6063" w:rsidRDefault="00BC6063" w:rsidP="009C1D6A">
            <w:pPr>
              <w:spacing w:after="53" w:line="259" w:lineRule="auto"/>
              <w:ind w:left="0" w:right="0" w:firstLine="0"/>
              <w:jc w:val="left"/>
            </w:pPr>
            <w:r>
              <w:rPr>
                <w:sz w:val="22"/>
              </w:rPr>
              <w:t xml:space="preserve">____________________________ </w:t>
            </w:r>
          </w:p>
          <w:p w14:paraId="14921B31" w14:textId="77777777" w:rsidR="00BC6063" w:rsidRDefault="00BC6063" w:rsidP="009C1D6A">
            <w:pPr>
              <w:spacing w:after="0" w:line="259" w:lineRule="auto"/>
              <w:ind w:left="0" w:right="0" w:firstLine="0"/>
              <w:jc w:val="left"/>
            </w:pPr>
            <w:r>
              <w:rPr>
                <w:sz w:val="22"/>
              </w:rPr>
              <w:t xml:space="preserve">[…] Banka </w:t>
            </w:r>
          </w:p>
        </w:tc>
        <w:tc>
          <w:tcPr>
            <w:tcW w:w="708" w:type="dxa"/>
            <w:tcBorders>
              <w:top w:val="nil"/>
              <w:left w:val="nil"/>
              <w:bottom w:val="nil"/>
              <w:right w:val="nil"/>
            </w:tcBorders>
          </w:tcPr>
          <w:p w14:paraId="4429F1CE" w14:textId="77777777" w:rsidR="00BC6063" w:rsidRDefault="00BC6063" w:rsidP="009C1D6A">
            <w:pPr>
              <w:spacing w:after="0" w:line="259" w:lineRule="auto"/>
              <w:ind w:left="0" w:right="0" w:firstLine="0"/>
              <w:jc w:val="left"/>
            </w:pPr>
            <w:r>
              <w:rPr>
                <w:sz w:val="22"/>
              </w:rPr>
              <w:t xml:space="preserve"> </w:t>
            </w:r>
          </w:p>
        </w:tc>
        <w:tc>
          <w:tcPr>
            <w:tcW w:w="4542" w:type="dxa"/>
            <w:tcBorders>
              <w:top w:val="nil"/>
              <w:left w:val="nil"/>
              <w:bottom w:val="nil"/>
              <w:right w:val="nil"/>
            </w:tcBorders>
          </w:tcPr>
          <w:p w14:paraId="182E3EDC" w14:textId="77777777" w:rsidR="00BC6063" w:rsidRDefault="00BC6063" w:rsidP="009C1D6A">
            <w:pPr>
              <w:spacing w:after="0" w:line="259" w:lineRule="auto"/>
              <w:ind w:left="0" w:right="0" w:firstLine="0"/>
              <w:jc w:val="left"/>
            </w:pPr>
            <w:r>
              <w:rPr>
                <w:sz w:val="22"/>
              </w:rPr>
              <w:t xml:space="preserve"> </w:t>
            </w:r>
            <w:r>
              <w:rPr>
                <w:sz w:val="22"/>
              </w:rPr>
              <w:tab/>
              <w:t xml:space="preserve"> </w:t>
            </w:r>
          </w:p>
        </w:tc>
      </w:tr>
    </w:tbl>
    <w:p w14:paraId="25A556A8" w14:textId="77777777" w:rsidR="00BC6063" w:rsidRDefault="00BC6063" w:rsidP="00BC6063">
      <w:pPr>
        <w:spacing w:after="14" w:line="259" w:lineRule="auto"/>
        <w:ind w:left="0" w:right="0" w:firstLine="0"/>
        <w:jc w:val="left"/>
      </w:pPr>
      <w:r>
        <w:rPr>
          <w:sz w:val="22"/>
        </w:rPr>
        <w:t xml:space="preserve"> </w:t>
      </w:r>
    </w:p>
    <w:p w14:paraId="713861AB" w14:textId="52FA3D87" w:rsidR="00160C82" w:rsidRDefault="00BC6063" w:rsidP="00BC6063">
      <w:r>
        <w:rPr>
          <w:sz w:val="22"/>
        </w:rPr>
        <w:t xml:space="preserve"> </w:t>
      </w:r>
      <w:r>
        <w:rPr>
          <w:sz w:val="22"/>
        </w:rPr>
        <w:tab/>
      </w:r>
    </w:p>
    <w:sectPr w:rsidR="00160C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93309"/>
    <w:multiLevelType w:val="multilevel"/>
    <w:tmpl w:val="2146CA7E"/>
    <w:lvl w:ilvl="0">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3440DBB"/>
    <w:multiLevelType w:val="hybridMultilevel"/>
    <w:tmpl w:val="E116C940"/>
    <w:lvl w:ilvl="0" w:tplc="5922F64C">
      <w:start w:val="1"/>
      <w:numFmt w:val="upp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6CE7C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066E7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78ABC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9ED05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2C9CF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78247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4A7ED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2E40A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7754216F"/>
    <w:multiLevelType w:val="hybridMultilevel"/>
    <w:tmpl w:val="C5C8FCBC"/>
    <w:lvl w:ilvl="0" w:tplc="722A553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623220">
      <w:start w:val="1"/>
      <w:numFmt w:val="lowerLetter"/>
      <w:lvlText w:val="%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B8880C">
      <w:start w:val="12"/>
      <w:numFmt w:val="upperLetter"/>
      <w:lvlRestart w:val="0"/>
      <w:lvlText w:val="%3."/>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D04BE8">
      <w:start w:val="1"/>
      <w:numFmt w:val="decimal"/>
      <w:lvlText w:val="%4"/>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B08078">
      <w:start w:val="1"/>
      <w:numFmt w:val="lowerLetter"/>
      <w:lvlText w:val="%5"/>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3A1690">
      <w:start w:val="1"/>
      <w:numFmt w:val="lowerRoman"/>
      <w:lvlText w:val="%6"/>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96672C">
      <w:start w:val="1"/>
      <w:numFmt w:val="decimal"/>
      <w:lvlText w:val="%7"/>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D201EE">
      <w:start w:val="1"/>
      <w:numFmt w:val="lowerLetter"/>
      <w:lvlText w:val="%8"/>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92B9D0">
      <w:start w:val="1"/>
      <w:numFmt w:val="lowerRoman"/>
      <w:lvlText w:val="%9"/>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063"/>
    <w:rsid w:val="00160C82"/>
    <w:rsid w:val="00BC60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E50DA"/>
  <w15:chartTrackingRefBased/>
  <w15:docId w15:val="{7B5C875F-5C16-43F1-AB6B-1A361E7A2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063"/>
    <w:pPr>
      <w:spacing w:after="9" w:line="268" w:lineRule="auto"/>
      <w:ind w:left="10" w:right="3" w:hanging="10"/>
      <w:jc w:val="both"/>
    </w:pPr>
    <w:rPr>
      <w:rFonts w:ascii="Times New Roman" w:eastAsia="Times New Roman" w:hAnsi="Times New Roman" w:cs="Times New Roman"/>
      <w:color w:val="000000"/>
      <w:sz w:val="24"/>
      <w:lang w:eastAsia="cs-CZ"/>
    </w:rPr>
  </w:style>
  <w:style w:type="paragraph" w:styleId="Nadpis1">
    <w:name w:val="heading 1"/>
    <w:next w:val="Normln"/>
    <w:link w:val="Nadpis1Char"/>
    <w:uiPriority w:val="9"/>
    <w:qFormat/>
    <w:rsid w:val="00BC6063"/>
    <w:pPr>
      <w:keepNext/>
      <w:keepLines/>
      <w:spacing w:after="3" w:line="271" w:lineRule="auto"/>
      <w:ind w:left="10" w:hanging="10"/>
      <w:outlineLvl w:val="0"/>
    </w:pPr>
    <w:rPr>
      <w:rFonts w:ascii="Times New Roman" w:eastAsia="Times New Roman" w:hAnsi="Times New Roman" w:cs="Times New Roman"/>
      <w:b/>
      <w:color w:val="000000"/>
      <w:sz w:val="28"/>
      <w:lang w:eastAsia="cs-CZ"/>
    </w:rPr>
  </w:style>
  <w:style w:type="paragraph" w:styleId="Nadpis2">
    <w:name w:val="heading 2"/>
    <w:next w:val="Normln"/>
    <w:link w:val="Nadpis2Char"/>
    <w:uiPriority w:val="9"/>
    <w:unhideWhenUsed/>
    <w:qFormat/>
    <w:rsid w:val="00BC6063"/>
    <w:pPr>
      <w:keepNext/>
      <w:keepLines/>
      <w:spacing w:after="195" w:line="265" w:lineRule="auto"/>
      <w:ind w:left="370" w:hanging="10"/>
      <w:jc w:val="center"/>
      <w:outlineLvl w:val="1"/>
    </w:pPr>
    <w:rPr>
      <w:rFonts w:ascii="Times New Roman" w:eastAsia="Times New Roman" w:hAnsi="Times New Roman" w:cs="Times New Roman"/>
      <w:b/>
      <w:color w:val="000000"/>
      <w:sz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C6063"/>
    <w:rPr>
      <w:rFonts w:ascii="Times New Roman" w:eastAsia="Times New Roman" w:hAnsi="Times New Roman" w:cs="Times New Roman"/>
      <w:b/>
      <w:color w:val="000000"/>
      <w:sz w:val="28"/>
      <w:lang w:eastAsia="cs-CZ"/>
    </w:rPr>
  </w:style>
  <w:style w:type="character" w:customStyle="1" w:styleId="Nadpis2Char">
    <w:name w:val="Nadpis 2 Char"/>
    <w:basedOn w:val="Standardnpsmoodstavce"/>
    <w:link w:val="Nadpis2"/>
    <w:uiPriority w:val="9"/>
    <w:rsid w:val="00BC6063"/>
    <w:rPr>
      <w:rFonts w:ascii="Times New Roman" w:eastAsia="Times New Roman" w:hAnsi="Times New Roman" w:cs="Times New Roman"/>
      <w:b/>
      <w:color w:val="000000"/>
      <w:sz w:val="24"/>
      <w:lang w:eastAsia="cs-CZ"/>
    </w:rPr>
  </w:style>
  <w:style w:type="table" w:customStyle="1" w:styleId="TableGrid">
    <w:name w:val="TableGrid"/>
    <w:rsid w:val="00BC6063"/>
    <w:pPr>
      <w:spacing w:after="0" w:line="240" w:lineRule="auto"/>
    </w:pPr>
    <w:rPr>
      <w:rFonts w:eastAsiaTheme="minorEastAsia"/>
      <w:lang w:eastAsia="cs-CZ"/>
    </w:rPr>
    <w:tblPr>
      <w:tblCellMar>
        <w:top w:w="0" w:type="dxa"/>
        <w:left w:w="0" w:type="dxa"/>
        <w:bottom w:w="0" w:type="dxa"/>
        <w:right w:w="0" w:type="dxa"/>
      </w:tblCellMar>
    </w:tblPr>
  </w:style>
  <w:style w:type="paragraph" w:customStyle="1" w:styleId="Default">
    <w:name w:val="Default"/>
    <w:rsid w:val="00BC606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376BF4-1E8F-4FB7-ABCC-6B28A3C4639B}"/>
</file>

<file path=customXml/itemProps2.xml><?xml version="1.0" encoding="utf-8"?>
<ds:datastoreItem xmlns:ds="http://schemas.openxmlformats.org/officeDocument/2006/customXml" ds:itemID="{8FD46D3E-5B1D-42E4-9704-BF7D064B5C76}"/>
</file>

<file path=customXml/itemProps3.xml><?xml version="1.0" encoding="utf-8"?>
<ds:datastoreItem xmlns:ds="http://schemas.openxmlformats.org/officeDocument/2006/customXml" ds:itemID="{07FA83CE-28BC-45F2-AC34-648BBAE01D0C}"/>
</file>

<file path=docProps/app.xml><?xml version="1.0" encoding="utf-8"?>
<Properties xmlns="http://schemas.openxmlformats.org/officeDocument/2006/extended-properties" xmlns:vt="http://schemas.openxmlformats.org/officeDocument/2006/docPropsVTypes">
  <Template>Normal</Template>
  <TotalTime>1</TotalTime>
  <Pages>5</Pages>
  <Words>1425</Words>
  <Characters>8409</Characters>
  <Application>Microsoft Office Word</Application>
  <DocSecurity>0</DocSecurity>
  <Lines>70</Lines>
  <Paragraphs>19</Paragraphs>
  <ScaleCrop>false</ScaleCrop>
  <Company/>
  <LinksUpToDate>false</LinksUpToDate>
  <CharactersWithSpaces>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Ryšavý</dc:creator>
  <cp:keywords/>
  <dc:description/>
  <cp:lastModifiedBy>Boris Ryšavý</cp:lastModifiedBy>
  <cp:revision>1</cp:revision>
  <dcterms:created xsi:type="dcterms:W3CDTF">2021-08-17T06:14:00Z</dcterms:created>
  <dcterms:modified xsi:type="dcterms:W3CDTF">2021-08-17T06:21:00Z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