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 xml:space="preserve">, </w:t>
      </w:r>
      <w:proofErr w:type="gramStart"/>
      <w:r w:rsidRPr="00FC489B">
        <w:rPr>
          <w:rFonts w:cstheme="minorHAnsi"/>
          <w:bCs/>
          <w:sz w:val="20"/>
          <w:szCs w:val="20"/>
        </w:rPr>
        <w:t>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>  znění</w:t>
      </w:r>
      <w:proofErr w:type="gramEnd"/>
      <w:r w:rsidRPr="00FC489B">
        <w:rPr>
          <w:rFonts w:cstheme="minorHAnsi"/>
          <w:bCs/>
          <w:sz w:val="20"/>
          <w:szCs w:val="20"/>
        </w:rPr>
        <w:t xml:space="preserve">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proofErr w:type="spellStart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</w:t>
            </w:r>
            <w:proofErr w:type="spellEnd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proofErr w:type="spellStart"/>
            <w:r w:rsidRPr="00FC489B">
              <w:rPr>
                <w:rFonts w:cstheme="minorHAnsi"/>
                <w:bCs/>
                <w:sz w:val="22"/>
              </w:rPr>
              <w:t>innogy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Česká republika a.s., se sídlem Limuzská 3135/12, 100 98 Praha 10 – Strašnice, IČ: 24275051, zapsaná v obchodním rejstříku, vedeném Městským soudem v Praze,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sp.zn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>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František Brenčič,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Strategic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Kamila Krejčíková,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</w:t>
            </w:r>
            <w:proofErr w:type="spellStart"/>
            <w:r>
              <w:rPr>
                <w:rFonts w:cstheme="minorHAnsi"/>
                <w:bCs/>
                <w:sz w:val="22"/>
              </w:rPr>
              <w:t>sp</w:t>
            </w:r>
            <w:proofErr w:type="spellEnd"/>
            <w:r>
              <w:rPr>
                <w:rFonts w:cstheme="minorHAnsi"/>
                <w:bCs/>
                <w:sz w:val="22"/>
              </w:rPr>
              <w:t xml:space="preserve">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751531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footerReference w:type="default" r:id="rId12"/>
          <w:headerReference w:type="first" r:id="rId13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03008BA7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Park &amp; </w:t>
      </w:r>
      <w:proofErr w:type="spellStart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Charge</w:t>
      </w:r>
      <w:proofErr w:type="spellEnd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„V </w:t>
      </w:r>
      <w:proofErr w:type="gramStart"/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00541B</w:t>
      </w:r>
      <w:proofErr w:type="gramEnd"/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 – dodávka projektových dokumentací</w:t>
      </w:r>
      <w:r w:rsidR="00751531">
        <w:rPr>
          <w:rFonts w:asciiTheme="minorHAnsi" w:hAnsiTheme="minorHAnsi" w:cstheme="minorHAnsi"/>
          <w:b/>
          <w:bCs/>
          <w:sz w:val="22"/>
          <w:szCs w:val="22"/>
        </w:rPr>
        <w:t xml:space="preserve"> – nové vyhlášení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část 1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79756055"/>
      <w:r w:rsidR="00343BA6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343BA6">
        <w:rPr>
          <w:rFonts w:asciiTheme="minorHAnsi" w:hAnsiTheme="minorHAnsi" w:cstheme="minorHAnsi"/>
          <w:sz w:val="22"/>
          <w:szCs w:val="22"/>
        </w:rPr>
        <w:t>zhotovení Díla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074854">
        <w:rPr>
          <w:rFonts w:asciiTheme="minorHAnsi" w:hAnsiTheme="minorHAnsi" w:cstheme="minorHAnsi"/>
          <w:sz w:val="22"/>
          <w:szCs w:val="22"/>
        </w:rPr>
        <w:t>bude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>
        <w:rPr>
          <w:rFonts w:asciiTheme="minorHAnsi" w:hAnsiTheme="minorHAnsi" w:cstheme="minorHAnsi"/>
          <w:sz w:val="22"/>
          <w:szCs w:val="22"/>
        </w:rPr>
        <w:t>technická specifikace nabíjecích</w:t>
      </w:r>
      <w:r w:rsidR="007A1836">
        <w:rPr>
          <w:rFonts w:asciiTheme="minorHAnsi" w:hAnsiTheme="minorHAnsi" w:cstheme="minorHAnsi"/>
          <w:sz w:val="22"/>
          <w:szCs w:val="22"/>
        </w:rPr>
        <w:t>.</w:t>
      </w:r>
      <w:r w:rsidR="00FC489B">
        <w:rPr>
          <w:rFonts w:asciiTheme="minorHAnsi" w:hAnsiTheme="minorHAnsi" w:cstheme="minorHAnsi"/>
          <w:sz w:val="22"/>
          <w:szCs w:val="22"/>
        </w:rPr>
        <w:t xml:space="preserve"> S ohledem na probíhající zadávací řízení na dodavatele nabíjecích stanic </w:t>
      </w:r>
      <w:r w:rsidR="003279EF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74854">
        <w:rPr>
          <w:rFonts w:asciiTheme="minorHAnsi" w:hAnsiTheme="minorHAnsi" w:cstheme="minorHAnsi"/>
          <w:sz w:val="22"/>
          <w:szCs w:val="22"/>
        </w:rPr>
        <w:t>dodá</w:t>
      </w:r>
      <w:r w:rsidR="00FC489B">
        <w:rPr>
          <w:rFonts w:asciiTheme="minorHAnsi" w:hAnsiTheme="minorHAnsi" w:cstheme="minorHAnsi"/>
          <w:sz w:val="22"/>
          <w:szCs w:val="22"/>
        </w:rPr>
        <w:t xml:space="preserve"> tuto technickou specifikaci </w:t>
      </w:r>
      <w:r w:rsidR="00074854">
        <w:rPr>
          <w:rFonts w:asciiTheme="minorHAnsi" w:hAnsiTheme="minorHAnsi" w:cstheme="minorHAnsi"/>
          <w:sz w:val="22"/>
          <w:szCs w:val="22"/>
        </w:rPr>
        <w:t>bez zbytečného odkladu poté, kdy jí bude disponovat</w:t>
      </w:r>
      <w:r w:rsidR="00FC489B">
        <w:rPr>
          <w:rFonts w:asciiTheme="minorHAnsi" w:hAnsiTheme="minorHAnsi" w:cstheme="minorHAnsi"/>
          <w:sz w:val="22"/>
          <w:szCs w:val="22"/>
        </w:rPr>
        <w:t xml:space="preserve">. </w:t>
      </w:r>
      <w:r w:rsidR="00074854">
        <w:rPr>
          <w:rFonts w:asciiTheme="minorHAnsi" w:hAnsiTheme="minorHAnsi" w:cstheme="minorHAnsi"/>
          <w:sz w:val="22"/>
          <w:szCs w:val="22"/>
        </w:rPr>
        <w:t>Zhotovitel bude počítat s vyprojektováním základu a místa pro umístění nabíjecích stanic a u</w:t>
      </w:r>
      <w:r w:rsidR="00FC489B">
        <w:rPr>
          <w:rFonts w:asciiTheme="minorHAnsi" w:hAnsiTheme="minorHAnsi" w:cstheme="minorHAnsi"/>
          <w:sz w:val="22"/>
          <w:szCs w:val="22"/>
        </w:rPr>
        <w:t>veden</w:t>
      </w:r>
      <w:r w:rsidR="00074854">
        <w:rPr>
          <w:rFonts w:asciiTheme="minorHAnsi" w:hAnsiTheme="minorHAnsi" w:cstheme="minorHAnsi"/>
          <w:sz w:val="22"/>
          <w:szCs w:val="22"/>
        </w:rPr>
        <w:t>é</w:t>
      </w:r>
      <w:r w:rsidR="00FC489B">
        <w:rPr>
          <w:rFonts w:asciiTheme="minorHAnsi" w:hAnsiTheme="minorHAnsi" w:cstheme="minorHAnsi"/>
          <w:sz w:val="22"/>
          <w:szCs w:val="22"/>
        </w:rPr>
        <w:t xml:space="preserve"> </w:t>
      </w:r>
      <w:r w:rsidR="00074854">
        <w:rPr>
          <w:rFonts w:asciiTheme="minorHAnsi" w:hAnsiTheme="minorHAnsi" w:cstheme="minorHAnsi"/>
          <w:sz w:val="22"/>
          <w:szCs w:val="22"/>
        </w:rPr>
        <w:t xml:space="preserve">doplnění </w:t>
      </w:r>
      <w:r w:rsidR="00FC489B">
        <w:rPr>
          <w:rFonts w:asciiTheme="minorHAnsi" w:hAnsiTheme="minorHAnsi" w:cstheme="minorHAnsi"/>
          <w:sz w:val="22"/>
          <w:szCs w:val="22"/>
        </w:rPr>
        <w:t xml:space="preserve">technické specifikace nebude mít vliv na cenu za provedení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C489B">
        <w:rPr>
          <w:rFonts w:asciiTheme="minorHAnsi" w:hAnsiTheme="minorHAnsi" w:cstheme="minorHAnsi"/>
          <w:sz w:val="22"/>
          <w:szCs w:val="22"/>
        </w:rPr>
        <w:t>íla.</w:t>
      </w:r>
      <w:bookmarkEnd w:id="1"/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 xml:space="preserve">to v rozsahu </w:t>
      </w:r>
      <w:proofErr w:type="gramStart"/>
      <w:r w:rsidR="00B35D7B" w:rsidRPr="005E58EF">
        <w:rPr>
          <w:rFonts w:asciiTheme="minorHAnsi" w:hAnsiTheme="minorHAnsi" w:cstheme="minorHAnsi"/>
          <w:sz w:val="22"/>
          <w:szCs w:val="22"/>
        </w:rPr>
        <w:t>A – D</w:t>
      </w:r>
      <w:proofErr w:type="gramEnd"/>
      <w:r w:rsidR="00B35D7B" w:rsidRPr="005E58EF">
        <w:rPr>
          <w:rFonts w:asciiTheme="minorHAnsi" w:hAnsiTheme="minorHAnsi" w:cstheme="minorHAnsi"/>
          <w:sz w:val="22"/>
          <w:szCs w:val="22"/>
        </w:rPr>
        <w:t xml:space="preserve">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proofErr w:type="gramStart"/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</w:t>
      </w:r>
      <w:proofErr w:type="gram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 xml:space="preserve">v souladu se zněním zákona č. 183/2006 Sb., o územním plánování a stavebním řádu, ve znění pozdějších předpisů (stavební zákon) a souvisejícími vyhláškami, zejména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499/2006 Sb. o dokumentaci staveb ve znění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62/2013 Sb.,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268/2009 Sb. o technických požadavcích na stavby, ve znění pozdějších předpisů,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>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Nabíjecí stanice budou napojeny na internet, stanice budou vzájemně metalicky datově propojeny k jedné řídící stanici, kde bude datové připojení přes SIM kartu (</w:t>
      </w:r>
      <w:proofErr w:type="gramStart"/>
      <w:r w:rsidRPr="004C543F">
        <w:rPr>
          <w:rFonts w:asciiTheme="minorHAnsi" w:hAnsiTheme="minorHAnsi" w:cstheme="minorHAnsi"/>
          <w:sz w:val="22"/>
          <w:szCs w:val="22"/>
        </w:rPr>
        <w:t>LTE,…</w:t>
      </w:r>
      <w:proofErr w:type="gramEnd"/>
      <w:r w:rsidRPr="004C543F">
        <w:rPr>
          <w:rFonts w:asciiTheme="minorHAnsi" w:hAnsiTheme="minorHAnsi" w:cstheme="minorHAnsi"/>
          <w:sz w:val="22"/>
          <w:szCs w:val="22"/>
        </w:rPr>
        <w:t xml:space="preserve">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v tištěné podobě a také 2x v elektronické podobě, a to na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disku ve formátu pro texty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>Daňový doklad musí obsahovat náležitosti stanovené obecně závaznými právními předpisy pro daňový doklad, zejména v § 29 zákona č. 235/2004 Sb., o dani z přidané hodnoty, ve znění pozdějších předpisů (dále jen „</w:t>
      </w:r>
      <w:proofErr w:type="spellStart"/>
      <w:r w:rsidRPr="00875452">
        <w:rPr>
          <w:rFonts w:eastAsia="Times New Roman" w:cstheme="minorHAnsi"/>
          <w:sz w:val="22"/>
          <w:lang w:eastAsia="cs-CZ"/>
        </w:rPr>
        <w:t>ZoDPH</w:t>
      </w:r>
      <w:proofErr w:type="spellEnd"/>
      <w:r w:rsidRPr="00875452">
        <w:rPr>
          <w:rFonts w:eastAsia="Times New Roman" w:cstheme="minorHAnsi"/>
          <w:sz w:val="22"/>
          <w:lang w:eastAsia="cs-CZ"/>
        </w:rPr>
        <w:t xml:space="preserve">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</w:t>
      </w:r>
      <w:proofErr w:type="gramStart"/>
      <w:r w:rsidR="0036573E" w:rsidRPr="006E3E10">
        <w:rPr>
          <w:rFonts w:cstheme="minorHAnsi"/>
          <w:sz w:val="22"/>
        </w:rPr>
        <w:t>subjektům,</w:t>
      </w:r>
      <w:proofErr w:type="gramEnd"/>
      <w:r w:rsidR="0036573E" w:rsidRPr="006E3E10">
        <w:rPr>
          <w:rFonts w:cstheme="minorHAnsi"/>
          <w:sz w:val="22"/>
        </w:rPr>
        <w:t xml:space="preserve">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proofErr w:type="gramStart"/>
      <w:r>
        <w:rPr>
          <w:rFonts w:cstheme="minorHAnsi"/>
          <w:sz w:val="22"/>
        </w:rPr>
        <w:t>Zhotovitel</w:t>
      </w:r>
      <w:proofErr w:type="gramEnd"/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</w:t>
      </w:r>
      <w:proofErr w:type="spellStart"/>
      <w:r w:rsidRPr="003D4205">
        <w:rPr>
          <w:rFonts w:asciiTheme="minorHAnsi" w:hAnsiTheme="minorHAnsi" w:cstheme="minorHAnsi"/>
          <w:sz w:val="22"/>
          <w:szCs w:val="22"/>
        </w:rPr>
        <w:t>innogy</w:t>
      </w:r>
      <w:proofErr w:type="spellEnd"/>
      <w:r w:rsidRPr="003D4205">
        <w:rPr>
          <w:rFonts w:asciiTheme="minorHAnsi" w:hAnsiTheme="minorHAnsi" w:cstheme="minorHAnsi"/>
          <w:sz w:val="22"/>
          <w:szCs w:val="22"/>
        </w:rPr>
        <w:t xml:space="preserve">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4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2" w:name="_Hlk77578596"/>
            <w:bookmarkStart w:id="3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2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3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roofErr w:type="spellStart"/>
            <w:r w:rsidRPr="00FD1BB3">
              <w:rPr>
                <w:rFonts w:cstheme="minorHAnsi"/>
                <w:b/>
                <w:bCs/>
                <w:sz w:val="22"/>
              </w:rPr>
              <w:t>innogy</w:t>
            </w:r>
            <w:proofErr w:type="spellEnd"/>
            <w:r w:rsidRPr="00FD1BB3">
              <w:rPr>
                <w:rFonts w:cstheme="minorHAnsi"/>
                <w:b/>
                <w:bCs/>
                <w:sz w:val="22"/>
              </w:rPr>
              <w:t xml:space="preserve">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Arial" w:hAnsi="Arial" w:cs="Arial"/>
              <w:b/>
            </w:rPr>
            <w:t>innogy</w:t>
          </w:r>
          <w:proofErr w:type="spellEnd"/>
          <w:r>
            <w:rPr>
              <w:rFonts w:ascii="Arial" w:hAnsi="Arial" w:cs="Arial"/>
              <w:b/>
            </w:rPr>
            <w:t xml:space="preserve">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00BB3A48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 xml:space="preserve">„V </w:t>
          </w:r>
          <w:proofErr w:type="gramStart"/>
          <w:r w:rsidRPr="00F73788">
            <w:rPr>
              <w:rFonts w:ascii="Arial" w:hAnsi="Arial" w:cs="Arial"/>
              <w:b/>
              <w:bCs/>
            </w:rPr>
            <w:t>00</w:t>
          </w:r>
          <w:r>
            <w:rPr>
              <w:rFonts w:ascii="Arial" w:hAnsi="Arial" w:cs="Arial"/>
              <w:b/>
              <w:bCs/>
            </w:rPr>
            <w:t>541B</w:t>
          </w:r>
          <w:proofErr w:type="gramEnd"/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="00751531">
            <w:rPr>
              <w:rFonts w:ascii="Arial" w:hAnsi="Arial" w:cs="Arial"/>
              <w:b/>
              <w:bCs/>
            </w:rPr>
            <w:t xml:space="preserve"> – nové vyhlášení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4854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1531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nogy.cz/energo/ochrana-osobnich-udaj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4226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6</cp:revision>
  <cp:lastPrinted>2021-02-08T13:09:00Z</cp:lastPrinted>
  <dcterms:created xsi:type="dcterms:W3CDTF">2021-07-29T07:48:00Z</dcterms:created>
  <dcterms:modified xsi:type="dcterms:W3CDTF">2021-09-15T08:27:00Z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