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720CF53C"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AD1050" w:rsidRPr="00AD1050">
        <w:rPr>
          <w:b/>
          <w:sz w:val="22"/>
        </w:rPr>
        <w:t>DOD20211021</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00E09882"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728F4" w:rsidRPr="003728F4">
        <w:rPr>
          <w:sz w:val="22"/>
          <w:szCs w:val="22"/>
        </w:rPr>
        <w:t>NR-</w:t>
      </w:r>
      <w:r w:rsidR="00E37BE3">
        <w:rPr>
          <w:sz w:val="22"/>
          <w:szCs w:val="22"/>
        </w:rPr>
        <w:t>89</w:t>
      </w:r>
      <w:bookmarkStart w:id="0" w:name="_GoBack"/>
      <w:bookmarkEnd w:id="0"/>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0F919EF4"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 stavebního povolení (dále jen DSP)</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 xml:space="preserve">„PD – </w:t>
      </w:r>
      <w:r w:rsidR="00CE0CAF">
        <w:rPr>
          <w:b/>
          <w:sz w:val="22"/>
          <w:szCs w:val="22"/>
        </w:rPr>
        <w:t>Modernizace TT na ul. 28. října v úseku Náměstí republiky – ul. Výstavní</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15542E43"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112889C9" w14:textId="77777777" w:rsidR="004330A9" w:rsidRDefault="00CA4F6D" w:rsidP="00547A58">
      <w:pPr>
        <w:tabs>
          <w:tab w:val="left" w:pos="426"/>
        </w:tabs>
        <w:ind w:left="426" w:hanging="417"/>
        <w:rPr>
          <w:b/>
          <w:i/>
          <w:sz w:val="22"/>
          <w:szCs w:val="22"/>
        </w:rPr>
      </w:pPr>
      <w:r>
        <w:rPr>
          <w:sz w:val="22"/>
          <w:szCs w:val="22"/>
        </w:rPr>
        <w:tab/>
      </w:r>
      <w:r>
        <w:rPr>
          <w:b/>
          <w:i/>
          <w:sz w:val="22"/>
          <w:szCs w:val="22"/>
        </w:rPr>
        <w:t xml:space="preserve"> </w:t>
      </w:r>
      <w:r w:rsidR="004330A9">
        <w:rPr>
          <w:sz w:val="22"/>
          <w:szCs w:val="22"/>
        </w:rPr>
        <w:t>P</w:t>
      </w:r>
      <w:r w:rsidR="004330A9" w:rsidRPr="00154B27">
        <w:rPr>
          <w:sz w:val="22"/>
          <w:szCs w:val="22"/>
        </w:rPr>
        <w:t xml:space="preserve">rojektové dokumentace pro vydání stavebního povolení </w:t>
      </w:r>
      <w:r w:rsidR="004330A9">
        <w:rPr>
          <w:sz w:val="22"/>
          <w:szCs w:val="22"/>
        </w:rPr>
        <w:t xml:space="preserve"> DSP + DPS </w:t>
      </w:r>
      <w:r w:rsidR="004330A9">
        <w:rPr>
          <w:sz w:val="22"/>
          <w:szCs w:val="22"/>
        </w:rPr>
        <w:tab/>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7F4695DC" w:rsidR="00CA4F6D" w:rsidRPr="00921930" w:rsidRDefault="00A62EFC" w:rsidP="00547A58">
      <w:pPr>
        <w:tabs>
          <w:tab w:val="left" w:pos="426"/>
        </w:tabs>
        <w:ind w:left="426" w:hanging="417"/>
        <w:rPr>
          <w:sz w:val="22"/>
          <w:szCs w:val="22"/>
        </w:rPr>
      </w:pPr>
      <w:r>
        <w:rPr>
          <w:sz w:val="22"/>
          <w:szCs w:val="22"/>
        </w:rPr>
        <w:tab/>
      </w:r>
      <w:r w:rsidR="00BA2565">
        <w:rPr>
          <w:sz w:val="22"/>
          <w:szCs w:val="22"/>
        </w:rPr>
        <w:t>Výkon inženýrské činnosti</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1F09F1">
        <w:rPr>
          <w:sz w:val="22"/>
          <w:szCs w:val="22"/>
        </w:rPr>
        <w:tab/>
      </w:r>
      <w:r w:rsidR="001F09F1">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579EC3A7" w14:textId="6B054995" w:rsidR="00F360F9" w:rsidRDefault="00BA2565" w:rsidP="00F360F9">
      <w:pPr>
        <w:pStyle w:val="Zkladntext"/>
        <w:spacing w:before="90" w:after="0"/>
        <w:jc w:val="both"/>
        <w:rPr>
          <w:sz w:val="22"/>
          <w:szCs w:val="22"/>
        </w:rPr>
      </w:pPr>
      <w:r w:rsidRPr="00F360F9">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r w:rsidRPr="00F360F9">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prací bude schválena ve Změnovém listu zástupcem objednatele, osobou oprávněnou pro změny díla. </w:t>
      </w:r>
    </w:p>
    <w:p w14:paraId="7A960102" w14:textId="7684895E" w:rsidR="00CA4F6D" w:rsidRDefault="00CA4F6D" w:rsidP="008F02EE">
      <w:pPr>
        <w:pStyle w:val="Zkladntext"/>
        <w:spacing w:before="90" w:after="0"/>
        <w:jc w:val="both"/>
        <w:rPr>
          <w:sz w:val="22"/>
          <w:szCs w:val="22"/>
        </w:rPr>
      </w:pP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2F407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ve stupni DSP + DPS</w:t>
      </w:r>
      <w:r w:rsidRPr="00547A58">
        <w:rPr>
          <w:sz w:val="22"/>
          <w:szCs w:val="22"/>
        </w:rPr>
        <w:t xml:space="preserve"> -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00910A8B" w:rsidRPr="00547A58">
        <w:rPr>
          <w:b/>
          <w:i/>
          <w:color w:val="00B0F0"/>
          <w:sz w:val="22"/>
          <w:szCs w:val="22"/>
        </w:rPr>
        <w:t>1</w:t>
      </w:r>
      <w:r w:rsidR="00910A8B">
        <w:rPr>
          <w:b/>
          <w:i/>
          <w:color w:val="00B0F0"/>
          <w:sz w:val="22"/>
          <w:szCs w:val="22"/>
        </w:rPr>
        <w:t>5</w:t>
      </w:r>
      <w:r w:rsidR="00910A8B"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proofErr w:type="spellStart"/>
      <w:r w:rsidR="00CE0CAF">
        <w:rPr>
          <w:sz w:val="22"/>
          <w:szCs w:val="22"/>
        </w:rPr>
        <w:t>iv</w:t>
      </w:r>
      <w:proofErr w:type="spellEnd"/>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proofErr w:type="spellStart"/>
      <w:r w:rsidR="00CE0CAF">
        <w:rPr>
          <w:sz w:val="22"/>
          <w:szCs w:val="22"/>
        </w:rPr>
        <w:t>iv</w:t>
      </w:r>
      <w:proofErr w:type="spellEnd"/>
      <w:r w:rsidR="00E41CF8" w:rsidRPr="00945BDF">
        <w:rPr>
          <w:sz w:val="22"/>
          <w:szCs w:val="22"/>
        </w:rPr>
        <w:t>.). Faktura bude vystavena zhotovitelem do 15 dnů ode dne uskutečnění zdanitelného plnění. Dnem uskutečnění zdanitelného plnění bude:</w:t>
      </w:r>
    </w:p>
    <w:p w14:paraId="1A8681E6" w14:textId="77777777"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w:t>
      </w:r>
      <w:r w:rsidR="00482EE4">
        <w:rPr>
          <w:sz w:val="22"/>
          <w:szCs w:val="22"/>
        </w:rPr>
        <w:t xml:space="preserve"> + DPS</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0EE7EE46"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7777777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prodávající nevyplňuje, doplní zadavatel až před podpisem smlouvy]</w:t>
      </w:r>
      <w:r w:rsidRPr="000C420E">
        <w:rPr>
          <w:i/>
          <w:iCs/>
          <w:sz w:val="22"/>
          <w:szCs w:val="22"/>
        </w:rPr>
        <w:t xml:space="preserve"> </w:t>
      </w:r>
      <w:r w:rsidRPr="000C420E">
        <w:rPr>
          <w:sz w:val="22"/>
          <w:szCs w:val="22"/>
        </w:rPr>
        <w:t>a kupující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0C420E">
        <w:rPr>
          <w:sz w:val="22"/>
          <w:szCs w:val="22"/>
        </w:rPr>
        <w:t>koronaviru</w:t>
      </w:r>
      <w:proofErr w:type="spellEnd"/>
      <w:r w:rsidRPr="000C420E">
        <w:rPr>
          <w:sz w:val="22"/>
          <w:szCs w:val="22"/>
        </w:rPr>
        <w:t xml:space="preserve">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77777777" w:rsidR="00162CAA" w:rsidRPr="00CF1962" w:rsidRDefault="00162CAA" w:rsidP="00162CAA">
      <w:pPr>
        <w:pStyle w:val="Zkladntext"/>
        <w:ind w:left="426" w:hanging="426"/>
        <w:rPr>
          <w:b/>
          <w:bCs/>
          <w:sz w:val="22"/>
          <w:szCs w:val="22"/>
        </w:rPr>
      </w:pPr>
      <w:r w:rsidRPr="00CF1962">
        <w:rPr>
          <w:rStyle w:val="OdstavecseseznamemChar"/>
          <w:sz w:val="22"/>
          <w:szCs w:val="22"/>
        </w:rPr>
        <w:t>2</w:t>
      </w:r>
      <w:r w:rsidRPr="00CF1962">
        <w:rPr>
          <w:sz w:val="22"/>
          <w:szCs w:val="22"/>
        </w:rPr>
        <w:t>.   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D15AE51" w14:textId="77777777" w:rsidR="00A64692"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p>
    <w:p w14:paraId="388D82B0" w14:textId="3B656D0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374AC9" w:rsidRDefault="00374AC9">
      <w:r>
        <w:separator/>
      </w:r>
    </w:p>
  </w:endnote>
  <w:endnote w:type="continuationSeparator" w:id="0">
    <w:p w14:paraId="14D394F5" w14:textId="77777777" w:rsidR="00374AC9" w:rsidRDefault="00374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2989A9B9"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w:t>
            </w:r>
            <w:r w:rsidR="00CE0CAF">
              <w:rPr>
                <w:i/>
                <w:sz w:val="20"/>
                <w:szCs w:val="20"/>
              </w:rPr>
              <w:t xml:space="preserve">Modernizace TT na ul. 28. října v úseku Náměstí republiky – ul. Výstavní </w:t>
            </w:r>
            <w:r w:rsidRPr="00992512">
              <w:rPr>
                <w:i/>
                <w:sz w:val="20"/>
                <w:szCs w:val="20"/>
              </w:rPr>
              <w:t>“</w:t>
            </w:r>
            <w:r>
              <w:rPr>
                <w:i/>
                <w:sz w:val="20"/>
                <w:szCs w:val="20"/>
              </w:rPr>
              <w:tab/>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E37BE3">
              <w:rPr>
                <w:i/>
                <w:noProof/>
                <w:sz w:val="20"/>
                <w:szCs w:val="20"/>
              </w:rPr>
              <w:t>1</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E37BE3">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374AC9" w:rsidRDefault="00374AC9">
      <w:r>
        <w:separator/>
      </w:r>
    </w:p>
  </w:footnote>
  <w:footnote w:type="continuationSeparator" w:id="0">
    <w:p w14:paraId="2BD18ADE" w14:textId="77777777" w:rsidR="00374AC9" w:rsidRDefault="00374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58416F45" w:rsidR="0015641C" w:rsidRDefault="00E662EC" w:rsidP="008272B9">
    <w:pPr>
      <w:pStyle w:val="Zhlav"/>
      <w:tabs>
        <w:tab w:val="clear" w:pos="4536"/>
        <w:tab w:val="clear" w:pos="9072"/>
        <w:tab w:val="left" w:pos="7380"/>
      </w:tabs>
      <w:rPr>
        <w:i/>
        <w:sz w:val="22"/>
        <w:szCs w:val="22"/>
      </w:rPr>
    </w:pPr>
    <w:r>
      <w:rPr>
        <w:i/>
        <w:sz w:val="22"/>
        <w:szCs w:val="22"/>
      </w:rPr>
      <w:t>Příloha č. 2A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E37BE3"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num>
  <w:num w:numId="10">
    <w:abstractNumId w:val="2"/>
  </w:num>
  <w:num w:numId="11">
    <w:abstractNumId w:val="1"/>
  </w:num>
  <w:num w:numId="12">
    <w:abstractNumId w:val="9"/>
  </w:num>
  <w:num w:numId="13">
    <w:abstractNumId w:val="4"/>
  </w:num>
  <w:num w:numId="14">
    <w:abstractNumId w:val="17"/>
  </w:num>
  <w:num w:numId="15">
    <w:abstractNumId w:val="20"/>
  </w:num>
  <w:num w:numId="16">
    <w:abstractNumId w:val="12"/>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67C7A"/>
    <w:rsid w:val="00076C2D"/>
    <w:rsid w:val="00081D5F"/>
    <w:rsid w:val="0009548F"/>
    <w:rsid w:val="000A52C3"/>
    <w:rsid w:val="000C7F35"/>
    <w:rsid w:val="000D3C14"/>
    <w:rsid w:val="000E7EA2"/>
    <w:rsid w:val="000F6E21"/>
    <w:rsid w:val="0011064D"/>
    <w:rsid w:val="00116274"/>
    <w:rsid w:val="00124FEE"/>
    <w:rsid w:val="001266A1"/>
    <w:rsid w:val="001348AC"/>
    <w:rsid w:val="001438A2"/>
    <w:rsid w:val="00156B04"/>
    <w:rsid w:val="00161C87"/>
    <w:rsid w:val="00162CAA"/>
    <w:rsid w:val="00164CB7"/>
    <w:rsid w:val="00167DAC"/>
    <w:rsid w:val="001A040B"/>
    <w:rsid w:val="001A48E1"/>
    <w:rsid w:val="001B58A9"/>
    <w:rsid w:val="001C18C3"/>
    <w:rsid w:val="001E2DEE"/>
    <w:rsid w:val="001F09F1"/>
    <w:rsid w:val="001F36D9"/>
    <w:rsid w:val="0021534D"/>
    <w:rsid w:val="00222F38"/>
    <w:rsid w:val="00241721"/>
    <w:rsid w:val="0026273C"/>
    <w:rsid w:val="0028128D"/>
    <w:rsid w:val="002871F1"/>
    <w:rsid w:val="00287BEF"/>
    <w:rsid w:val="00294B33"/>
    <w:rsid w:val="002A1F1B"/>
    <w:rsid w:val="002A6A75"/>
    <w:rsid w:val="002B41E7"/>
    <w:rsid w:val="002B5C1D"/>
    <w:rsid w:val="002C52E3"/>
    <w:rsid w:val="002E65B9"/>
    <w:rsid w:val="003041F8"/>
    <w:rsid w:val="00315710"/>
    <w:rsid w:val="00316B34"/>
    <w:rsid w:val="00330C6E"/>
    <w:rsid w:val="00337AC9"/>
    <w:rsid w:val="00341CF7"/>
    <w:rsid w:val="003605D2"/>
    <w:rsid w:val="00361BB6"/>
    <w:rsid w:val="003728F4"/>
    <w:rsid w:val="00374AC9"/>
    <w:rsid w:val="003A1416"/>
    <w:rsid w:val="003B707E"/>
    <w:rsid w:val="003B7089"/>
    <w:rsid w:val="003E2424"/>
    <w:rsid w:val="003E65FA"/>
    <w:rsid w:val="003F4F87"/>
    <w:rsid w:val="004004CF"/>
    <w:rsid w:val="00406387"/>
    <w:rsid w:val="00406C40"/>
    <w:rsid w:val="004330A9"/>
    <w:rsid w:val="00437AB0"/>
    <w:rsid w:val="00482EE4"/>
    <w:rsid w:val="00497B4B"/>
    <w:rsid w:val="00497CD5"/>
    <w:rsid w:val="004A57E2"/>
    <w:rsid w:val="004C3A60"/>
    <w:rsid w:val="004E2D2B"/>
    <w:rsid w:val="004F6CCF"/>
    <w:rsid w:val="0051457D"/>
    <w:rsid w:val="0051721F"/>
    <w:rsid w:val="005326A0"/>
    <w:rsid w:val="00547A58"/>
    <w:rsid w:val="00557ABE"/>
    <w:rsid w:val="00565A4F"/>
    <w:rsid w:val="00582A45"/>
    <w:rsid w:val="005B0F15"/>
    <w:rsid w:val="005B7FAB"/>
    <w:rsid w:val="005C3A6F"/>
    <w:rsid w:val="005F7ACC"/>
    <w:rsid w:val="00601E76"/>
    <w:rsid w:val="00631296"/>
    <w:rsid w:val="0063420F"/>
    <w:rsid w:val="00646512"/>
    <w:rsid w:val="006522C5"/>
    <w:rsid w:val="00654B1C"/>
    <w:rsid w:val="00672025"/>
    <w:rsid w:val="00694CBD"/>
    <w:rsid w:val="006A268B"/>
    <w:rsid w:val="006B1E03"/>
    <w:rsid w:val="006B6C97"/>
    <w:rsid w:val="006D4496"/>
    <w:rsid w:val="006D7F25"/>
    <w:rsid w:val="006E1B95"/>
    <w:rsid w:val="00701C63"/>
    <w:rsid w:val="0070230C"/>
    <w:rsid w:val="00750777"/>
    <w:rsid w:val="00755D8B"/>
    <w:rsid w:val="0076170B"/>
    <w:rsid w:val="00764023"/>
    <w:rsid w:val="00766E61"/>
    <w:rsid w:val="007750DE"/>
    <w:rsid w:val="007B739D"/>
    <w:rsid w:val="007C13E3"/>
    <w:rsid w:val="007C4D9E"/>
    <w:rsid w:val="007D38D4"/>
    <w:rsid w:val="007F071B"/>
    <w:rsid w:val="00827291"/>
    <w:rsid w:val="0085740F"/>
    <w:rsid w:val="008608F4"/>
    <w:rsid w:val="00876C8F"/>
    <w:rsid w:val="00882AB7"/>
    <w:rsid w:val="0089070D"/>
    <w:rsid w:val="008F02EE"/>
    <w:rsid w:val="008F1FF7"/>
    <w:rsid w:val="008F63DD"/>
    <w:rsid w:val="00910A8B"/>
    <w:rsid w:val="00923A6A"/>
    <w:rsid w:val="00944645"/>
    <w:rsid w:val="00945BDF"/>
    <w:rsid w:val="009673FC"/>
    <w:rsid w:val="00990A94"/>
    <w:rsid w:val="00992623"/>
    <w:rsid w:val="009A5AED"/>
    <w:rsid w:val="009F532C"/>
    <w:rsid w:val="00A0199A"/>
    <w:rsid w:val="00A210CD"/>
    <w:rsid w:val="00A61E2A"/>
    <w:rsid w:val="00A62EFC"/>
    <w:rsid w:val="00A640EC"/>
    <w:rsid w:val="00A64692"/>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A2565"/>
    <w:rsid w:val="00BC3F72"/>
    <w:rsid w:val="00BD65F1"/>
    <w:rsid w:val="00BF2569"/>
    <w:rsid w:val="00C21856"/>
    <w:rsid w:val="00C37C2F"/>
    <w:rsid w:val="00C43C57"/>
    <w:rsid w:val="00C63B14"/>
    <w:rsid w:val="00C71229"/>
    <w:rsid w:val="00C94181"/>
    <w:rsid w:val="00CA4F6D"/>
    <w:rsid w:val="00CB61A2"/>
    <w:rsid w:val="00CB6BA6"/>
    <w:rsid w:val="00CB7361"/>
    <w:rsid w:val="00CD0001"/>
    <w:rsid w:val="00CD5882"/>
    <w:rsid w:val="00CE0CA1"/>
    <w:rsid w:val="00CE0CAF"/>
    <w:rsid w:val="00CE216C"/>
    <w:rsid w:val="00CF062A"/>
    <w:rsid w:val="00CF1962"/>
    <w:rsid w:val="00CF1F41"/>
    <w:rsid w:val="00D12B49"/>
    <w:rsid w:val="00D16AE3"/>
    <w:rsid w:val="00D35BD4"/>
    <w:rsid w:val="00D4502D"/>
    <w:rsid w:val="00D70481"/>
    <w:rsid w:val="00D77851"/>
    <w:rsid w:val="00D8491A"/>
    <w:rsid w:val="00DB279B"/>
    <w:rsid w:val="00DC2429"/>
    <w:rsid w:val="00DD34CE"/>
    <w:rsid w:val="00DE51C0"/>
    <w:rsid w:val="00DF031E"/>
    <w:rsid w:val="00DF7313"/>
    <w:rsid w:val="00E017EB"/>
    <w:rsid w:val="00E1322D"/>
    <w:rsid w:val="00E37BE3"/>
    <w:rsid w:val="00E41263"/>
    <w:rsid w:val="00E41CF8"/>
    <w:rsid w:val="00E574AD"/>
    <w:rsid w:val="00E653DA"/>
    <w:rsid w:val="00E662EC"/>
    <w:rsid w:val="00E73A7B"/>
    <w:rsid w:val="00E802D0"/>
    <w:rsid w:val="00E80E3B"/>
    <w:rsid w:val="00EA089E"/>
    <w:rsid w:val="00EB08E6"/>
    <w:rsid w:val="00F14D43"/>
    <w:rsid w:val="00F205F7"/>
    <w:rsid w:val="00F32B94"/>
    <w:rsid w:val="00F360F9"/>
    <w:rsid w:val="00F5010A"/>
    <w:rsid w:val="00F65FCC"/>
    <w:rsid w:val="00F85405"/>
    <w:rsid w:val="00F90ABE"/>
    <w:rsid w:val="00FB1D75"/>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3503</Words>
  <Characters>20674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4</cp:revision>
  <cp:lastPrinted>2021-05-24T06:14:00Z</cp:lastPrinted>
  <dcterms:created xsi:type="dcterms:W3CDTF">2021-07-07T12:46:00Z</dcterms:created>
  <dcterms:modified xsi:type="dcterms:W3CDTF">2021-09-22T08:02:00Z</dcterms:modified>
</cp:coreProperties>
</file>