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BB284" w14:textId="77777777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77777777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DE5A66">
        <w:rPr>
          <w:color w:val="auto"/>
          <w:sz w:val="22"/>
          <w:szCs w:val="22"/>
        </w:rPr>
        <w:t xml:space="preserve">Bc.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77777777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DE5A66">
        <w:rPr>
          <w:color w:val="auto"/>
          <w:sz w:val="22"/>
          <w:szCs w:val="22"/>
        </w:rPr>
        <w:t xml:space="preserve">Bc.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77777777" w:rsidR="009A0AB7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ve věcech technických:  </w:t>
      </w:r>
      <w:r w:rsidRPr="00E013B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Ing. Miroslav Bilanič, tel. 599 410 071, mobil 702 285 689, email:mbilanic@slezska.cz – vedoucí odboru technické správy - 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4269B829" w14:textId="77777777" w:rsidR="009A0AB7" w:rsidRPr="00E013BD" w:rsidRDefault="009A0AB7" w:rsidP="009A0AB7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Tomáš Dušek, tel.: 599 410 038, mobil: 724 676 268, </w:t>
      </w:r>
    </w:p>
    <w:p w14:paraId="6CCADED3" w14:textId="77777777" w:rsidR="009A0AB7" w:rsidRPr="00E013BD" w:rsidRDefault="009A0AB7" w:rsidP="009A0AB7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Pr="00E013BD">
          <w:rPr>
            <w:rFonts w:eastAsia="Calibri"/>
            <w:sz w:val="22"/>
            <w:szCs w:val="22"/>
            <w:u w:val="single"/>
            <w:lang w:eastAsia="en-US"/>
          </w:rPr>
          <w:t>tdusek@slezska.cz</w:t>
        </w:r>
      </w:hyperlink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3B737918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D258C1">
        <w:rPr>
          <w:sz w:val="22"/>
          <w:szCs w:val="22"/>
        </w:rPr>
        <w:tab/>
      </w:r>
      <w:r w:rsidRPr="00890DCD">
        <w:rPr>
          <w:sz w:val="22"/>
          <w:szCs w:val="22"/>
        </w:rPr>
        <w:t>…………………………………………….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79A95AC1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………</w:t>
      </w:r>
      <w:r w:rsidR="002957DC" w:rsidRPr="0004607E">
        <w:rPr>
          <w:sz w:val="22"/>
          <w:szCs w:val="22"/>
          <w:highlight w:val="yellow"/>
        </w:rPr>
        <w:t>.</w:t>
      </w:r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</w:t>
      </w:r>
      <w:r w:rsidR="00033C20" w:rsidRPr="0004607E">
        <w:rPr>
          <w:rFonts w:ascii="Times New Roman" w:hAnsi="Times New Roman"/>
          <w:highlight w:val="yellow"/>
        </w:rPr>
        <w:t>.</w:t>
      </w:r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</w:t>
      </w:r>
      <w:r w:rsidR="00033C20" w:rsidRPr="0004607E">
        <w:rPr>
          <w:rFonts w:ascii="Times New Roman" w:hAnsi="Times New Roman"/>
          <w:highlight w:val="yellow"/>
        </w:rPr>
        <w:t>.</w:t>
      </w:r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C3CE82D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lastRenderedPageBreak/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7A504A0A" w14:textId="287EDE53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B75957">
        <w:rPr>
          <w:color w:val="auto"/>
          <w:sz w:val="22"/>
          <w:szCs w:val="22"/>
        </w:rPr>
        <w:t>klempířských prací</w:t>
      </w:r>
      <w:r w:rsidR="0015290F" w:rsidRPr="003C374B">
        <w:rPr>
          <w:color w:val="auto"/>
          <w:sz w:val="22"/>
          <w:szCs w:val="22"/>
        </w:rPr>
        <w:t>.</w:t>
      </w:r>
    </w:p>
    <w:p w14:paraId="75355D09" w14:textId="07DBE751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9F400E">
        <w:rPr>
          <w:sz w:val="22"/>
          <w:szCs w:val="22"/>
        </w:rPr>
        <w:t xml:space="preserve">„Oprava a údržba domovního a bytového fondu v majetku Statutárního města Ostrava, svěřeného městskému obvodu Slezská Ostrava, obor </w:t>
      </w:r>
      <w:r w:rsidR="00B75957">
        <w:rPr>
          <w:sz w:val="22"/>
          <w:szCs w:val="22"/>
        </w:rPr>
        <w:t>klempířské práce</w:t>
      </w:r>
      <w:r w:rsidR="002641F2">
        <w:rPr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(ID zakázky: ……………………</w:t>
      </w:r>
      <w:proofErr w:type="gramStart"/>
      <w:r w:rsidR="0077683B" w:rsidRPr="003C374B">
        <w:rPr>
          <w:sz w:val="22"/>
          <w:szCs w:val="22"/>
        </w:rPr>
        <w:t>…….</w:t>
      </w:r>
      <w:proofErr w:type="gramEnd"/>
      <w:r w:rsidR="00EA1169" w:rsidRPr="003C374B">
        <w:rPr>
          <w:sz w:val="22"/>
          <w:szCs w:val="22"/>
        </w:rPr>
        <w:t>.</w:t>
      </w:r>
      <w:r w:rsidR="00C2783F" w:rsidRPr="003C374B">
        <w:rPr>
          <w:snapToGrid w:val="0"/>
          <w:sz w:val="22"/>
          <w:szCs w:val="22"/>
        </w:rPr>
        <w:t>)</w:t>
      </w:r>
    </w:p>
    <w:p w14:paraId="1B3F28C5" w14:textId="3A39A3AB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Pr="009F400E">
        <w:rPr>
          <w:bCs/>
          <w:color w:val="auto"/>
          <w:sz w:val="22"/>
          <w:szCs w:val="22"/>
        </w:rPr>
        <w:t>Smlouvy, že 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0E23E440" w:rsidR="00F25B52" w:rsidRPr="00EA1251" w:rsidRDefault="001F229B" w:rsidP="00D616F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>bjednateli nebo třetí osobě do výše pojistného plnění 500.000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 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6ECE4A74" w14:textId="3604FA18" w:rsidR="00D102E3" w:rsidRPr="0015290F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 xml:space="preserve">pro Objednatele provést </w:t>
      </w:r>
      <w:r w:rsidR="00994C57">
        <w:rPr>
          <w:bCs/>
          <w:sz w:val="22"/>
          <w:szCs w:val="22"/>
        </w:rPr>
        <w:t xml:space="preserve">svým jménem, </w:t>
      </w:r>
      <w:r w:rsidR="00853799" w:rsidRPr="0015290F">
        <w:rPr>
          <w:bCs/>
          <w:sz w:val="22"/>
          <w:szCs w:val="22"/>
        </w:rPr>
        <w:t xml:space="preserve">na svůj náklad a </w:t>
      </w:r>
      <w:r w:rsidR="00994C57">
        <w:rPr>
          <w:bCs/>
          <w:sz w:val="22"/>
          <w:szCs w:val="22"/>
        </w:rPr>
        <w:t xml:space="preserve">na své </w:t>
      </w:r>
      <w:r w:rsidR="00853799" w:rsidRPr="0015290F">
        <w:rPr>
          <w:bCs/>
          <w:sz w:val="22"/>
          <w:szCs w:val="22"/>
        </w:rPr>
        <w:t>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 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</w:t>
      </w:r>
      <w:r w:rsidR="00B75957">
        <w:rPr>
          <w:bCs/>
          <w:sz w:val="22"/>
          <w:szCs w:val="22"/>
        </w:rPr>
        <w:t xml:space="preserve"> v oboru klempířských prací,</w:t>
      </w:r>
      <w:r w:rsidR="00853799" w:rsidRPr="0015290F">
        <w:rPr>
          <w:bCs/>
          <w:sz w:val="22"/>
          <w:szCs w:val="22"/>
        </w:rPr>
        <w:t xml:space="preserve"> </w:t>
      </w:r>
      <w:r w:rsidR="00B75957" w:rsidRPr="00666799">
        <w:rPr>
          <w:sz w:val="22"/>
          <w:szCs w:val="22"/>
        </w:rPr>
        <w:t xml:space="preserve">přičemž se jedná zejména o </w:t>
      </w:r>
      <w:bookmarkStart w:id="0" w:name="_Hlk84573572"/>
      <w:r w:rsidR="00B75957" w:rsidRPr="00666799">
        <w:rPr>
          <w:sz w:val="22"/>
          <w:szCs w:val="22"/>
        </w:rPr>
        <w:t>zjištění příčin závad a zatečení do šikmých a plochých střešních konstrukcí s živičnou nebo plechovou střešní krytinou a jejich odstranění, opravy a výměny klempířských prvků (okapy, žlaby, svody, venkovní parapety, oplechování a lemování), upevnění uvolněné střešní krytiny, čištění žlabů, svodů a lapačů střešních splavenin, související tesařské práce (oprava bednění střech) a nátěry klempířských prvků apod.</w:t>
      </w:r>
      <w:r w:rsidR="006310D4">
        <w:rPr>
          <w:sz w:val="22"/>
          <w:szCs w:val="22"/>
        </w:rPr>
        <w:t>,</w:t>
      </w:r>
      <w:r w:rsidR="00AC09AB" w:rsidRPr="003C374B">
        <w:rPr>
          <w:bCs/>
          <w:sz w:val="22"/>
          <w:szCs w:val="22"/>
        </w:rPr>
        <w:t xml:space="preserve"> </w:t>
      </w:r>
      <w:bookmarkEnd w:id="0"/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).</w:t>
      </w:r>
    </w:p>
    <w:p w14:paraId="7B0B417E" w14:textId="0E60AE90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3A551A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79DC7AA0" w14:textId="7D0B5E32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4CC469F2" w:rsidR="00673CBE" w:rsidRPr="0022198C" w:rsidRDefault="00105731" w:rsidP="0067755A">
      <w:pPr>
        <w:pStyle w:val="Default"/>
        <w:jc w:val="both"/>
        <w:rPr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</w:t>
      </w:r>
      <w:r w:rsidR="00562D1A">
        <w:rPr>
          <w:color w:val="auto"/>
          <w:sz w:val="22"/>
          <w:szCs w:val="22"/>
        </w:rPr>
        <w:t xml:space="preserve">této </w:t>
      </w:r>
      <w:r w:rsidR="00673CBE" w:rsidRPr="00666799">
        <w:rPr>
          <w:color w:val="auto"/>
          <w:sz w:val="22"/>
          <w:szCs w:val="22"/>
        </w:rPr>
        <w:t xml:space="preserve">Smlouvy do 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</w:t>
      </w:r>
      <w:r w:rsidR="00AC729F" w:rsidRPr="005725CD">
        <w:rPr>
          <w:color w:val="auto"/>
          <w:sz w:val="22"/>
          <w:szCs w:val="22"/>
        </w:rPr>
        <w:t xml:space="preserve">výši </w:t>
      </w:r>
      <w:r w:rsidR="00ED53AC">
        <w:rPr>
          <w:color w:val="auto"/>
          <w:sz w:val="22"/>
          <w:szCs w:val="22"/>
        </w:rPr>
        <w:t>1</w:t>
      </w:r>
      <w:r w:rsidR="009D1AFC" w:rsidRPr="005725CD">
        <w:rPr>
          <w:color w:val="auto"/>
          <w:sz w:val="22"/>
          <w:szCs w:val="22"/>
        </w:rPr>
        <w:t> </w:t>
      </w:r>
      <w:r w:rsidR="00B96FEB">
        <w:rPr>
          <w:color w:val="auto"/>
          <w:sz w:val="22"/>
          <w:szCs w:val="22"/>
        </w:rPr>
        <w:t>0</w:t>
      </w:r>
      <w:r w:rsidR="009D1AFC" w:rsidRPr="005725CD">
        <w:rPr>
          <w:color w:val="auto"/>
          <w:sz w:val="22"/>
          <w:szCs w:val="22"/>
        </w:rPr>
        <w:t>00 000</w:t>
      </w:r>
      <w:r w:rsidR="003174F6" w:rsidRPr="005725CD">
        <w:rPr>
          <w:color w:val="auto"/>
          <w:sz w:val="22"/>
          <w:szCs w:val="22"/>
        </w:rPr>
        <w:t>,-</w:t>
      </w:r>
      <w:r w:rsidR="00776939" w:rsidRPr="003C374B">
        <w:rPr>
          <w:color w:val="auto"/>
          <w:sz w:val="22"/>
          <w:szCs w:val="22"/>
        </w:rPr>
        <w:t xml:space="preserve"> </w:t>
      </w:r>
      <w:r w:rsidR="00673CBE" w:rsidRPr="003C374B">
        <w:rPr>
          <w:color w:val="auto"/>
          <w:sz w:val="22"/>
          <w:szCs w:val="22"/>
        </w:rPr>
        <w:t xml:space="preserve">Kč bez </w:t>
      </w:r>
      <w:r w:rsidR="00461C5F" w:rsidRPr="003C374B">
        <w:rPr>
          <w:color w:val="auto"/>
          <w:sz w:val="22"/>
          <w:szCs w:val="22"/>
        </w:rPr>
        <w:t xml:space="preserve">daně z přidané hodnoty (dále jen </w:t>
      </w:r>
      <w:r w:rsidR="00461C5F" w:rsidRPr="003C374B">
        <w:rPr>
          <w:i/>
          <w:color w:val="auto"/>
          <w:sz w:val="22"/>
          <w:szCs w:val="22"/>
        </w:rPr>
        <w:t>„</w:t>
      </w:r>
      <w:r w:rsidR="00673CBE" w:rsidRPr="003C374B">
        <w:rPr>
          <w:b/>
          <w:i/>
          <w:color w:val="auto"/>
          <w:sz w:val="22"/>
          <w:szCs w:val="22"/>
        </w:rPr>
        <w:t>DPH</w:t>
      </w:r>
      <w:r w:rsidR="00461C5F" w:rsidRPr="003C374B">
        <w:rPr>
          <w:i/>
          <w:color w:val="auto"/>
          <w:sz w:val="22"/>
          <w:szCs w:val="22"/>
        </w:rPr>
        <w:t>“</w:t>
      </w:r>
      <w:r w:rsidR="00461C5F" w:rsidRPr="003C374B">
        <w:rPr>
          <w:color w:val="auto"/>
          <w:sz w:val="22"/>
          <w:szCs w:val="22"/>
        </w:rPr>
        <w:t>)</w:t>
      </w:r>
      <w:r w:rsidR="00673CBE" w:rsidRPr="003C374B">
        <w:rPr>
          <w:color w:val="auto"/>
          <w:sz w:val="22"/>
          <w:szCs w:val="22"/>
        </w:rPr>
        <w:t xml:space="preserve">, </w:t>
      </w:r>
      <w:r w:rsidR="00AC729F" w:rsidRPr="003C374B">
        <w:rPr>
          <w:color w:val="auto"/>
          <w:sz w:val="22"/>
          <w:szCs w:val="22"/>
        </w:rPr>
        <w:t xml:space="preserve">nejpozději však do dne </w:t>
      </w:r>
      <w:r w:rsidR="0072301A" w:rsidRPr="003C374B">
        <w:rPr>
          <w:color w:val="auto"/>
          <w:sz w:val="22"/>
          <w:szCs w:val="22"/>
        </w:rPr>
        <w:t xml:space="preserve">31. 12. </w:t>
      </w:r>
      <w:r w:rsidR="00776939" w:rsidRPr="003C374B">
        <w:rPr>
          <w:color w:val="auto"/>
          <w:sz w:val="22"/>
          <w:szCs w:val="22"/>
        </w:rPr>
        <w:t>20</w:t>
      </w:r>
      <w:r w:rsidR="00F63EA2" w:rsidRPr="003C374B">
        <w:rPr>
          <w:color w:val="auto"/>
          <w:sz w:val="22"/>
          <w:szCs w:val="22"/>
        </w:rPr>
        <w:t>2</w:t>
      </w:r>
      <w:r w:rsidR="00ED53AC">
        <w:rPr>
          <w:color w:val="auto"/>
          <w:sz w:val="22"/>
          <w:szCs w:val="22"/>
        </w:rPr>
        <w:t>4</w:t>
      </w:r>
      <w:r w:rsidR="00526F64" w:rsidRPr="003C374B">
        <w:rPr>
          <w:sz w:val="22"/>
          <w:szCs w:val="22"/>
        </w:rPr>
        <w:t>.</w:t>
      </w:r>
    </w:p>
    <w:p w14:paraId="3466FBB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49C40A4" w14:textId="08C65F9B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>.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793ACD40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 xml:space="preserve">bjednateli cenovou nabídku na provedení části Díla, a to bezplatně a 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0C0BBC1D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 xml:space="preserve">Smlouvy, jedná se o porušení smluvní závazkové povinnosti Zhotovitele vůči Objednateli; odpovědnost a případná náhrada škody, která v této souvislosti Objednateli vznikla, se 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lastRenderedPageBreak/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2B9139CD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 xml:space="preserve">íla na nezbytně nutnou dobu 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7DD4850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04E705F5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hyperlink r:id="rId9" w:history="1">
        <w:r w:rsidRPr="00A0478E">
          <w:rPr>
            <w:rStyle w:val="Hypertextovodkaz"/>
            <w:sz w:val="22"/>
            <w:szCs w:val="22"/>
            <w:lang w:val="cs-CZ"/>
          </w:rPr>
          <w:t>havarie@slezska.cz</w:t>
        </w:r>
      </w:hyperlink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 </w:t>
      </w:r>
    </w:p>
    <w:p w14:paraId="411D6F9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77777777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7865952B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1BF26EC3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2DDC2D9F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 bezpečností práce a požární ochranou.</w:t>
      </w:r>
    </w:p>
    <w:p w14:paraId="287B2E82" w14:textId="77777777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18B3F497" w14:textId="77777777" w:rsidR="0086030A" w:rsidRPr="00FF261F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 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4ABB03A5" w14:textId="11F81B6F" w:rsidR="0086030A" w:rsidRDefault="0086030A" w:rsidP="009E4B13">
      <w:pPr>
        <w:pStyle w:val="Default"/>
        <w:jc w:val="both"/>
        <w:rPr>
          <w:color w:val="auto"/>
        </w:rPr>
      </w:pPr>
    </w:p>
    <w:p w14:paraId="76411CEE" w14:textId="1119A7E9" w:rsidR="00EA1251" w:rsidRDefault="00EA1251" w:rsidP="009E4B13">
      <w:pPr>
        <w:pStyle w:val="Default"/>
        <w:jc w:val="both"/>
        <w:rPr>
          <w:color w:val="auto"/>
        </w:rPr>
      </w:pPr>
    </w:p>
    <w:p w14:paraId="204B4A8C" w14:textId="0377997B" w:rsidR="00943DC6" w:rsidRDefault="00943DC6" w:rsidP="009E4B13">
      <w:pPr>
        <w:pStyle w:val="Default"/>
        <w:jc w:val="both"/>
        <w:rPr>
          <w:color w:val="auto"/>
        </w:rPr>
      </w:pPr>
    </w:p>
    <w:p w14:paraId="1E47B523" w14:textId="77777777" w:rsidR="00943DC6" w:rsidRPr="00C352B6" w:rsidRDefault="00943DC6" w:rsidP="009E4B13">
      <w:pPr>
        <w:pStyle w:val="Default"/>
        <w:jc w:val="both"/>
        <w:rPr>
          <w:color w:val="auto"/>
        </w:rPr>
      </w:pPr>
    </w:p>
    <w:p w14:paraId="07EBBE1B" w14:textId="77777777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322D877E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a 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0A00B59D" w:rsidR="00285552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ED53AC" w:rsidRPr="00C352B6">
        <w:rPr>
          <w:color w:val="auto"/>
          <w:sz w:val="22"/>
          <w:szCs w:val="22"/>
        </w:rPr>
        <w:t xml:space="preserve">datum a čas (od – do) prováděných prací, jména a podpisy osob realizujících konkrétní část Díla, počet odpracovaných hodin jednotlivých osob,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="00285552"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17B3B7DB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 xml:space="preserve">), podepsaný zástupci obou smluvních stran, a to ve 2 stejnopisech, kdy každá smluvní strana si ponechá 1 takový stejnopis. </w:t>
      </w:r>
    </w:p>
    <w:p w14:paraId="20C5BB63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F90EAB0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zákon 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766C8709" w:rsidR="004D0E84" w:rsidRPr="00177F98" w:rsidRDefault="004A24BC" w:rsidP="004A24BC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zúčtovací sazby </w:t>
      </w:r>
      <w:r w:rsidRPr="00682920">
        <w:rPr>
          <w:sz w:val="22"/>
          <w:szCs w:val="22"/>
          <w:shd w:val="clear" w:color="auto" w:fill="FFFF00"/>
        </w:rPr>
        <w:t>……………</w:t>
      </w:r>
      <w:r w:rsidRPr="00177F98">
        <w:rPr>
          <w:sz w:val="22"/>
          <w:szCs w:val="22"/>
        </w:rPr>
        <w:t xml:space="preserve"> Kč bez DPH/hodina/osoba, kdy v ceně je zahrnuta i doprava</w:t>
      </w:r>
      <w:r w:rsidR="003F6C94" w:rsidRPr="00177F98">
        <w:rPr>
          <w:sz w:val="22"/>
          <w:szCs w:val="22"/>
        </w:rPr>
        <w:t xml:space="preserve"> osob a materiálu</w:t>
      </w:r>
      <w:r w:rsidRPr="00177F98">
        <w:rPr>
          <w:sz w:val="22"/>
          <w:szCs w:val="22"/>
        </w:rPr>
        <w:t xml:space="preserve">; </w:t>
      </w:r>
    </w:p>
    <w:p w14:paraId="7CC91654" w14:textId="31E5ED21" w:rsidR="004A24BC" w:rsidRPr="00682920" w:rsidRDefault="004A24BC" w:rsidP="000535BA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 w:rsidRPr="00682920">
        <w:rPr>
          <w:sz w:val="22"/>
          <w:szCs w:val="22"/>
        </w:rPr>
        <w:t xml:space="preserve">cena materiálu dle jednotlivých ceníkových položek aktuálního ceníku ÚRS, platného k datu vystavení Objednávky na provedení části Díla nebo hodnota dodávek materiálu použitého při realizaci části Díla (Specifikace - pořizovací náklady v místě a čase obvyklé doložené ceníkem </w:t>
      </w:r>
      <w:r w:rsidR="000D40BF">
        <w:rPr>
          <w:sz w:val="22"/>
          <w:szCs w:val="22"/>
        </w:rPr>
        <w:t>zp</w:t>
      </w:r>
      <w:r w:rsidR="004876AE">
        <w:rPr>
          <w:sz w:val="22"/>
          <w:szCs w:val="22"/>
        </w:rPr>
        <w:t>r</w:t>
      </w:r>
      <w:r w:rsidR="000D40BF">
        <w:rPr>
          <w:sz w:val="22"/>
          <w:szCs w:val="22"/>
        </w:rPr>
        <w:t>ostředkovatele</w:t>
      </w:r>
      <w:r w:rsidRPr="00682920">
        <w:rPr>
          <w:sz w:val="22"/>
          <w:szCs w:val="22"/>
        </w:rPr>
        <w:t xml:space="preserve">); </w:t>
      </w:r>
      <w:r w:rsidR="00682920">
        <w:rPr>
          <w:rFonts w:eastAsia="Calibri"/>
          <w:sz w:val="22"/>
          <w:szCs w:val="22"/>
          <w:lang w:eastAsia="en-US"/>
        </w:rPr>
        <w:t>vynásobená</w:t>
      </w:r>
      <w:r w:rsidRPr="00682920">
        <w:rPr>
          <w:sz w:val="22"/>
          <w:szCs w:val="22"/>
        </w:rPr>
        <w:t xml:space="preserve"> u každé položky </w:t>
      </w:r>
      <w:r w:rsidR="00682920">
        <w:rPr>
          <w:sz w:val="22"/>
          <w:szCs w:val="22"/>
        </w:rPr>
        <w:t xml:space="preserve">koeficientem </w:t>
      </w:r>
      <w:r w:rsidR="00682920" w:rsidRPr="00682920">
        <w:rPr>
          <w:sz w:val="22"/>
          <w:szCs w:val="22"/>
          <w:highlight w:val="yellow"/>
          <w:shd w:val="clear" w:color="auto" w:fill="FFFF00"/>
        </w:rPr>
        <w:t>……</w:t>
      </w:r>
      <w:r w:rsidR="00682920" w:rsidRPr="00682920">
        <w:rPr>
          <w:sz w:val="22"/>
          <w:szCs w:val="22"/>
          <w:shd w:val="clear" w:color="auto" w:fill="FFFF00"/>
        </w:rPr>
        <w:t>…</w:t>
      </w:r>
      <w:r w:rsidR="00682920">
        <w:rPr>
          <w:sz w:val="22"/>
          <w:szCs w:val="22"/>
          <w:shd w:val="clear" w:color="auto" w:fill="FFFF00"/>
        </w:rPr>
        <w:t xml:space="preserve">. </w:t>
      </w:r>
      <w:r w:rsidRPr="00682920">
        <w:rPr>
          <w:sz w:val="22"/>
          <w:szCs w:val="22"/>
        </w:rPr>
        <w:t xml:space="preserve"> </w:t>
      </w:r>
      <w:r w:rsidR="00682920">
        <w:rPr>
          <w:sz w:val="22"/>
          <w:szCs w:val="22"/>
        </w:rPr>
        <w:t>K</w:t>
      </w:r>
      <w:r w:rsidRPr="00682920">
        <w:rPr>
          <w:sz w:val="22"/>
          <w:szCs w:val="22"/>
        </w:rPr>
        <w:t>e stanovené ceně mohou být dále připočteny vedlejší rozpočtové náklady (zařízení staveniště, provozní vlivy), a to v odůvodněných případech za předpokladu, že Zhotovitel doloží kalkulaci, z níž bude vyplývat oprávněnost účtování těchto nákladů dle platných ceníků ponížených o slevu výše</w:t>
      </w:r>
      <w:r w:rsidR="00254013">
        <w:rPr>
          <w:sz w:val="22"/>
          <w:szCs w:val="22"/>
        </w:rPr>
        <w:t>;</w:t>
      </w:r>
    </w:p>
    <w:p w14:paraId="4F16AF86" w14:textId="1BF9A7AD" w:rsidR="004A24BC" w:rsidRDefault="00F30FC6" w:rsidP="004A24BC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A24BC">
        <w:rPr>
          <w:sz w:val="22"/>
          <w:szCs w:val="22"/>
        </w:rPr>
        <w:t>skutečně vynaložené náklady na odvoz demontovaného materiálu a odpadu včetně uložení na skládku (doložené příslušným dokladem)</w:t>
      </w:r>
      <w:r w:rsidR="00254013">
        <w:rPr>
          <w:sz w:val="22"/>
          <w:szCs w:val="22"/>
        </w:rPr>
        <w:t>;</w:t>
      </w:r>
      <w:r w:rsidR="00F95964" w:rsidRPr="004A24BC">
        <w:rPr>
          <w:sz w:val="22"/>
          <w:szCs w:val="22"/>
        </w:rPr>
        <w:t xml:space="preserve"> </w:t>
      </w:r>
    </w:p>
    <w:p w14:paraId="672344E3" w14:textId="281A2FB4" w:rsidR="004A24BC" w:rsidRPr="004A24BC" w:rsidRDefault="004A24BC" w:rsidP="004A24BC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dle čl. IV. odst. 8 písm. a) nebo 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 xml:space="preserve">Smlouvy, je Zhotovitel oprávněn Objednateli účtovat v případě, že k provádění části Díla dojde ve svátek, v sobotu, v neděli či během noci, příplatek ve výši odpovídající minimální výši </w:t>
      </w:r>
      <w:r w:rsidRPr="004D0E84">
        <w:rPr>
          <w:color w:val="auto"/>
          <w:sz w:val="22"/>
          <w:szCs w:val="22"/>
        </w:rPr>
        <w:lastRenderedPageBreak/>
        <w:t>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 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6820CC12" w14:textId="24B1E66F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14:paraId="6237E460" w14:textId="75636F1C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530286CB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 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7A77EFD0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r w:rsidRPr="00C352B6">
        <w:rPr>
          <w:sz w:val="22"/>
          <w:szCs w:val="22"/>
        </w:rPr>
        <w:t xml:space="preserve">doručí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3774F40C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 kter</w:t>
      </w:r>
      <w:r w:rsidR="003832AD" w:rsidRPr="00C352B6">
        <w:rPr>
          <w:color w:val="auto"/>
          <w:sz w:val="22"/>
          <w:szCs w:val="22"/>
        </w:rPr>
        <w:t>ou 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77777777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 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 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73F955E5" w14:textId="77777777" w:rsidR="007A6AAA" w:rsidRDefault="007A6AAA" w:rsidP="00D616F6">
      <w:pPr>
        <w:pStyle w:val="Default"/>
        <w:rPr>
          <w:rFonts w:ascii="Arial" w:hAnsi="Arial" w:cs="Arial"/>
          <w:b/>
          <w:color w:val="auto"/>
        </w:rPr>
      </w:pPr>
    </w:p>
    <w:p w14:paraId="0B22891F" w14:textId="77777777" w:rsidR="007A6AAA" w:rsidRDefault="007A6AAA" w:rsidP="00D616F6">
      <w:pPr>
        <w:pStyle w:val="Default"/>
        <w:rPr>
          <w:rFonts w:ascii="Arial" w:hAnsi="Arial" w:cs="Arial"/>
          <w:b/>
          <w:color w:val="auto"/>
        </w:rPr>
      </w:pPr>
    </w:p>
    <w:p w14:paraId="7598268C" w14:textId="77777777" w:rsidR="007A6AAA" w:rsidRDefault="007A6AAA" w:rsidP="00D616F6">
      <w:pPr>
        <w:pStyle w:val="Default"/>
        <w:rPr>
          <w:rFonts w:ascii="Arial" w:hAnsi="Arial" w:cs="Arial"/>
          <w:b/>
          <w:color w:val="auto"/>
        </w:rPr>
      </w:pPr>
    </w:p>
    <w:p w14:paraId="4762A645" w14:textId="46F30F20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79FF768C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2FCD635C" w14:textId="5873D803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0219BB4C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 xml:space="preserve">čl. IV. 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</w:t>
      </w:r>
      <w:r w:rsidR="00BA40FB">
        <w:rPr>
          <w:color w:val="auto"/>
          <w:sz w:val="22"/>
          <w:szCs w:val="22"/>
        </w:rPr>
        <w:t xml:space="preserve">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30330AE2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53646FE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52BE2DF1" w14:textId="4F25CC1B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64F54765" w14:textId="781403D1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30C0ED85" w14:textId="31354364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 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5BD8B78B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</w:p>
    <w:p w14:paraId="5C6C5538" w14:textId="21D9F2AD" w:rsidR="008614BD" w:rsidRPr="0022198C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5852407D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1CFB20B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Zaplacení smluvní pokuty nezbavuje Zhotovitele povinnosti splnit smluvenou povinnost smluvní pokutou utvrzenou. </w:t>
      </w:r>
    </w:p>
    <w:p w14:paraId="069AEEF8" w14:textId="45D5F4B5" w:rsidR="00444AA7" w:rsidRPr="00444AA7" w:rsidRDefault="00444AA7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V případě, že závazek provést </w:t>
      </w:r>
      <w:r w:rsidR="002B60F3">
        <w:rPr>
          <w:color w:val="auto"/>
          <w:sz w:val="22"/>
          <w:szCs w:val="22"/>
        </w:rPr>
        <w:t xml:space="preserve">části </w:t>
      </w:r>
      <w:r w:rsidRPr="00444AA7">
        <w:rPr>
          <w:color w:val="auto"/>
          <w:sz w:val="22"/>
          <w:szCs w:val="22"/>
        </w:rPr>
        <w:t>Díl</w:t>
      </w:r>
      <w:r w:rsidR="002B60F3">
        <w:rPr>
          <w:color w:val="auto"/>
          <w:sz w:val="22"/>
          <w:szCs w:val="22"/>
        </w:rPr>
        <w:t>a</w:t>
      </w:r>
      <w:r w:rsidRPr="00444AA7">
        <w:rPr>
          <w:color w:val="auto"/>
          <w:sz w:val="22"/>
          <w:szCs w:val="22"/>
        </w:rPr>
        <w:t xml:space="preserve"> zanikn</w:t>
      </w:r>
      <w:r w:rsidR="002B60F3">
        <w:rPr>
          <w:color w:val="auto"/>
          <w:sz w:val="22"/>
          <w:szCs w:val="22"/>
        </w:rPr>
        <w:t>ou</w:t>
      </w:r>
      <w:r w:rsidRPr="00444AA7">
        <w:rPr>
          <w:color w:val="auto"/>
          <w:sz w:val="22"/>
          <w:szCs w:val="22"/>
        </w:rPr>
        <w:t xml:space="preserve"> před řádným ukončením </w:t>
      </w:r>
      <w:r w:rsidR="002B60F3">
        <w:rPr>
          <w:color w:val="auto"/>
          <w:sz w:val="22"/>
          <w:szCs w:val="22"/>
        </w:rPr>
        <w:t xml:space="preserve">částí </w:t>
      </w:r>
      <w:r w:rsidRPr="00444AA7">
        <w:rPr>
          <w:color w:val="auto"/>
          <w:sz w:val="22"/>
          <w:szCs w:val="22"/>
        </w:rPr>
        <w:t>Díla, nezaniká nárok na smluvní pokutu, pokud vznikl dřívějším porušením povinnosti.</w:t>
      </w:r>
    </w:p>
    <w:p w14:paraId="2C8C7FBC" w14:textId="00CE44BD" w:rsidR="00A20BA0" w:rsidRPr="0022198C" w:rsidRDefault="00444AA7" w:rsidP="007A6AAA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>Smluvní pokuty je objednatel oprávněn započíst proti pohledávce Zhotovitele</w:t>
      </w:r>
    </w:p>
    <w:p w14:paraId="00D9A477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38872027" w14:textId="77777777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7EED0064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1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1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5354E998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137CA2BF" w14:textId="34CD482D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21EC024E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31CD4C93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77777777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0E6ED74B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 xml:space="preserve">se 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5157E18C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>Smlouvy svými níže uvedenými vlastnoručními podpisy.</w:t>
      </w:r>
    </w:p>
    <w:p w14:paraId="02EF76BF" w14:textId="2509DE22" w:rsidR="00231D0F" w:rsidRDefault="00690397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31D0F" w:rsidRPr="0022198C">
        <w:rPr>
          <w:sz w:val="22"/>
          <w:szCs w:val="22"/>
        </w:rPr>
        <w:t xml:space="preserve">Smlouva je vyhotovena v </w:t>
      </w:r>
      <w:r w:rsidR="00231D0F">
        <w:rPr>
          <w:sz w:val="22"/>
          <w:szCs w:val="22"/>
        </w:rPr>
        <w:t>3</w:t>
      </w:r>
      <w:r w:rsidR="00231D0F" w:rsidRPr="0022198C">
        <w:rPr>
          <w:sz w:val="22"/>
          <w:szCs w:val="22"/>
        </w:rPr>
        <w:t xml:space="preserve"> stejnopisech, každý s platností originálu, z nichž si Objednatel ponechá </w:t>
      </w:r>
      <w:r w:rsidR="00231D0F">
        <w:rPr>
          <w:sz w:val="22"/>
          <w:szCs w:val="22"/>
        </w:rPr>
        <w:t>2</w:t>
      </w:r>
      <w:r w:rsidR="00231D0F" w:rsidRPr="0022198C">
        <w:rPr>
          <w:sz w:val="22"/>
          <w:szCs w:val="22"/>
        </w:rPr>
        <w:t xml:space="preserve"> stejnopisy podepsané oprávněnými zástupci smluvních stran a Zhotovitel </w:t>
      </w:r>
      <w:r w:rsidR="00231D0F">
        <w:rPr>
          <w:sz w:val="22"/>
          <w:szCs w:val="22"/>
        </w:rPr>
        <w:t>1</w:t>
      </w:r>
      <w:r w:rsidR="00231D0F" w:rsidRPr="0022198C">
        <w:rPr>
          <w:sz w:val="22"/>
          <w:szCs w:val="22"/>
        </w:rPr>
        <w:t xml:space="preserve"> takov</w:t>
      </w:r>
      <w:r w:rsidR="00231D0F">
        <w:rPr>
          <w:sz w:val="22"/>
          <w:szCs w:val="22"/>
        </w:rPr>
        <w:t>ý</w:t>
      </w:r>
      <w:r w:rsidR="00231D0F" w:rsidRPr="0022198C">
        <w:rPr>
          <w:sz w:val="22"/>
          <w:szCs w:val="22"/>
        </w:rPr>
        <w:t>to stejnopis.</w:t>
      </w:r>
    </w:p>
    <w:p w14:paraId="2AF0A6C5" w14:textId="77777777" w:rsidR="00C11A4E" w:rsidRPr="00B0608B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 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 o 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D3A93ED" w14:textId="77777777" w:rsidR="00C11A4E" w:rsidRPr="00C501C5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0192C94D" w14:textId="77777777" w:rsidR="003C374B" w:rsidRDefault="003C374B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713C3A" w14:textId="77777777" w:rsidR="00A21091" w:rsidRDefault="00A21091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4131A9" w14:textId="3E9BBB67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15D1AC5A" w:rsidR="001F229B" w:rsidRDefault="00D616F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K uzavření </w:t>
      </w:r>
      <w:r w:rsidR="00A21091">
        <w:rPr>
          <w:sz w:val="22"/>
          <w:szCs w:val="22"/>
        </w:rPr>
        <w:t xml:space="preserve">této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r w:rsidR="00231D0F">
        <w:rPr>
          <w:sz w:val="22"/>
          <w:szCs w:val="22"/>
        </w:rPr>
        <w:t>…….</w:t>
      </w:r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AC3594">
        <w:rPr>
          <w:sz w:val="22"/>
          <w:szCs w:val="22"/>
        </w:rPr>
        <w:t>………………………………</w:t>
      </w:r>
      <w:r w:rsidR="001F229B" w:rsidRPr="00515ECC">
        <w:rPr>
          <w:sz w:val="22"/>
          <w:szCs w:val="22"/>
        </w:rPr>
        <w:t xml:space="preserve"> a o 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77777777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DE5A66">
        <w:rPr>
          <w:b/>
          <w:sz w:val="22"/>
          <w:szCs w:val="22"/>
        </w:rPr>
        <w:t xml:space="preserve">Bc.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39233F22" w14:textId="77777777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p w14:paraId="1839D26C" w14:textId="77777777" w:rsidR="007A4618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p w14:paraId="7D4A2F41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5B0B5C">
      <w:headerReference w:type="default" r:id="rId10"/>
      <w:footerReference w:type="even" r:id="rId11"/>
      <w:footerReference w:type="default" r:id="rId12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3A438" w14:textId="77777777" w:rsidR="006213AB" w:rsidRDefault="006213AB">
      <w:r>
        <w:separator/>
      </w:r>
    </w:p>
  </w:endnote>
  <w:endnote w:type="continuationSeparator" w:id="0">
    <w:p w14:paraId="588A5FC3" w14:textId="77777777" w:rsidR="006213AB" w:rsidRDefault="0062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4F3860EB" w14:textId="77777777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40EB0032" w14:textId="7777777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EAD8867" w14:textId="6E23BFFA" w:rsidR="004866DA" w:rsidRPr="000A56C5" w:rsidRDefault="005B0B5C" w:rsidP="000A56C5">
    <w:pPr>
      <w:pStyle w:val="Zpat"/>
      <w:rPr>
        <w:rStyle w:val="slostrnky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B75957">
      <w:rPr>
        <w:rFonts w:ascii="Arial" w:hAnsi="Arial" w:cs="Arial"/>
        <w:color w:val="2E74B5"/>
        <w:sz w:val="16"/>
        <w:szCs w:val="16"/>
        <w:lang w:val="cs-CZ"/>
      </w:rPr>
      <w:t>klempířské práce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67FDB" w14:textId="77777777" w:rsidR="006213AB" w:rsidRDefault="006213AB">
      <w:r>
        <w:separator/>
      </w:r>
    </w:p>
  </w:footnote>
  <w:footnote w:type="continuationSeparator" w:id="0">
    <w:p w14:paraId="39FDA61F" w14:textId="77777777" w:rsidR="006213AB" w:rsidRDefault="0062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561C9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7F922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0"/>
  </w:num>
  <w:num w:numId="4">
    <w:abstractNumId w:val="18"/>
  </w:num>
  <w:num w:numId="5">
    <w:abstractNumId w:val="22"/>
  </w:num>
  <w:num w:numId="6">
    <w:abstractNumId w:val="7"/>
  </w:num>
  <w:num w:numId="7">
    <w:abstractNumId w:val="1"/>
  </w:num>
  <w:num w:numId="8">
    <w:abstractNumId w:val="24"/>
  </w:num>
  <w:num w:numId="9">
    <w:abstractNumId w:val="35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1"/>
  </w:num>
  <w:num w:numId="13">
    <w:abstractNumId w:val="27"/>
  </w:num>
  <w:num w:numId="14">
    <w:abstractNumId w:val="37"/>
  </w:num>
  <w:num w:numId="15">
    <w:abstractNumId w:val="6"/>
  </w:num>
  <w:num w:numId="16">
    <w:abstractNumId w:val="16"/>
  </w:num>
  <w:num w:numId="17">
    <w:abstractNumId w:val="25"/>
  </w:num>
  <w:num w:numId="18">
    <w:abstractNumId w:val="19"/>
  </w:num>
  <w:num w:numId="19">
    <w:abstractNumId w:val="12"/>
  </w:num>
  <w:num w:numId="20">
    <w:abstractNumId w:val="4"/>
  </w:num>
  <w:num w:numId="21">
    <w:abstractNumId w:val="40"/>
  </w:num>
  <w:num w:numId="22">
    <w:abstractNumId w:val="0"/>
  </w:num>
  <w:num w:numId="23">
    <w:abstractNumId w:val="10"/>
  </w:num>
  <w:num w:numId="24">
    <w:abstractNumId w:val="38"/>
  </w:num>
  <w:num w:numId="25">
    <w:abstractNumId w:val="17"/>
  </w:num>
  <w:num w:numId="26">
    <w:abstractNumId w:val="43"/>
  </w:num>
  <w:num w:numId="27">
    <w:abstractNumId w:val="21"/>
  </w:num>
  <w:num w:numId="28">
    <w:abstractNumId w:val="15"/>
  </w:num>
  <w:num w:numId="29">
    <w:abstractNumId w:val="44"/>
  </w:num>
  <w:num w:numId="30">
    <w:abstractNumId w:val="29"/>
  </w:num>
  <w:num w:numId="31">
    <w:abstractNumId w:val="11"/>
  </w:num>
  <w:num w:numId="32">
    <w:abstractNumId w:val="3"/>
  </w:num>
  <w:num w:numId="33">
    <w:abstractNumId w:val="36"/>
  </w:num>
  <w:num w:numId="34">
    <w:abstractNumId w:val="34"/>
  </w:num>
  <w:num w:numId="35">
    <w:abstractNumId w:val="39"/>
  </w:num>
  <w:num w:numId="36">
    <w:abstractNumId w:val="42"/>
  </w:num>
  <w:num w:numId="37">
    <w:abstractNumId w:val="8"/>
  </w:num>
  <w:num w:numId="38">
    <w:abstractNumId w:val="45"/>
  </w:num>
  <w:num w:numId="39">
    <w:abstractNumId w:val="26"/>
  </w:num>
  <w:num w:numId="40">
    <w:abstractNumId w:val="23"/>
  </w:num>
  <w:num w:numId="41">
    <w:abstractNumId w:val="13"/>
  </w:num>
  <w:num w:numId="42">
    <w:abstractNumId w:val="14"/>
  </w:num>
  <w:num w:numId="43">
    <w:abstractNumId w:val="32"/>
  </w:num>
  <w:num w:numId="44">
    <w:abstractNumId w:val="2"/>
  </w:num>
  <w:num w:numId="45">
    <w:abstractNumId w:val="9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50E2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081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970E5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4004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3EC1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609"/>
    <w:rsid w:val="00617A23"/>
    <w:rsid w:val="006213AB"/>
    <w:rsid w:val="006229B6"/>
    <w:rsid w:val="00622E9D"/>
    <w:rsid w:val="0062409B"/>
    <w:rsid w:val="006310D4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2CF2"/>
    <w:rsid w:val="00695A33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6AAA"/>
    <w:rsid w:val="007A787F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435C5"/>
    <w:rsid w:val="00943DC6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73DAE"/>
    <w:rsid w:val="00982C8F"/>
    <w:rsid w:val="0098429F"/>
    <w:rsid w:val="009847C5"/>
    <w:rsid w:val="00984A78"/>
    <w:rsid w:val="00986C8E"/>
    <w:rsid w:val="009904E9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1091"/>
    <w:rsid w:val="00A226B3"/>
    <w:rsid w:val="00A23D59"/>
    <w:rsid w:val="00A2547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5E1E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75957"/>
    <w:rsid w:val="00B80E52"/>
    <w:rsid w:val="00B82BF9"/>
    <w:rsid w:val="00B84B50"/>
    <w:rsid w:val="00B95B02"/>
    <w:rsid w:val="00B96FEB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258C1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2357D"/>
    <w:rsid w:val="00E25065"/>
    <w:rsid w:val="00E258D1"/>
    <w:rsid w:val="00E267C5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3AC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72DC"/>
    <w:rsid w:val="00F518F8"/>
    <w:rsid w:val="00F52865"/>
    <w:rsid w:val="00F63AB2"/>
    <w:rsid w:val="00F63EA2"/>
    <w:rsid w:val="00F64AC1"/>
    <w:rsid w:val="00F64DB1"/>
    <w:rsid w:val="00F6550E"/>
    <w:rsid w:val="00F67949"/>
    <w:rsid w:val="00F711AA"/>
    <w:rsid w:val="00F727C9"/>
    <w:rsid w:val="00F72D68"/>
    <w:rsid w:val="00F7430F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usek@slez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varie@slezska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5185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35229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Prchalová Martina</cp:lastModifiedBy>
  <cp:revision>3</cp:revision>
  <cp:lastPrinted>2021-10-22T08:13:00Z</cp:lastPrinted>
  <dcterms:created xsi:type="dcterms:W3CDTF">2021-10-20T09:04:00Z</dcterms:created>
  <dcterms:modified xsi:type="dcterms:W3CDTF">2021-10-22T08:13:00Z</dcterms:modified>
</cp:coreProperties>
</file>