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DA34A" w14:textId="614742C5" w:rsidR="00F2440B" w:rsidRDefault="00F2440B" w:rsidP="00A35455">
      <w:pPr>
        <w:pStyle w:val="Nzev"/>
        <w:rPr>
          <w:sz w:val="24"/>
          <w:szCs w:val="24"/>
        </w:rPr>
      </w:pPr>
    </w:p>
    <w:p w14:paraId="1C6F8912" w14:textId="77777777" w:rsidR="00735463" w:rsidRPr="00276AE5" w:rsidRDefault="00735463" w:rsidP="00735463">
      <w:pPr>
        <w:jc w:val="center"/>
        <w:rPr>
          <w:b/>
          <w:sz w:val="22"/>
          <w:szCs w:val="22"/>
        </w:rPr>
      </w:pPr>
      <w:r w:rsidRPr="00276AE5">
        <w:rPr>
          <w:sz w:val="22"/>
          <w:szCs w:val="22"/>
        </w:rPr>
        <w:t xml:space="preserve">Smlouva o dílo: </w:t>
      </w:r>
      <w:r w:rsidRPr="00276AE5">
        <w:rPr>
          <w:sz w:val="22"/>
          <w:szCs w:val="22"/>
        </w:rPr>
        <w:tab/>
      </w:r>
      <w:r w:rsidRPr="00276AE5">
        <w:rPr>
          <w:rStyle w:val="datalabel"/>
          <w:b/>
          <w:sz w:val="22"/>
          <w:szCs w:val="22"/>
        </w:rPr>
        <w:t>„PD částečná rekonstrukce měnírny Sokolská“</w:t>
      </w:r>
    </w:p>
    <w:p w14:paraId="7DEA34D4" w14:textId="77777777" w:rsidR="00735463" w:rsidRPr="00F7556D" w:rsidRDefault="00735463" w:rsidP="00735463">
      <w:pPr>
        <w:rPr>
          <w:szCs w:val="22"/>
        </w:rPr>
      </w:pPr>
    </w:p>
    <w:p w14:paraId="1CF99930" w14:textId="77777777" w:rsidR="00735463" w:rsidRPr="00276AE5" w:rsidRDefault="00735463" w:rsidP="00735463">
      <w:pPr>
        <w:rPr>
          <w:sz w:val="22"/>
          <w:szCs w:val="22"/>
        </w:rPr>
      </w:pPr>
      <w:r w:rsidRPr="00276AE5">
        <w:rPr>
          <w:sz w:val="22"/>
          <w:szCs w:val="22"/>
        </w:rPr>
        <w:t xml:space="preserve">Číslo smlouvy objednatele: </w:t>
      </w:r>
      <w:r w:rsidRPr="00276AE5">
        <w:rPr>
          <w:sz w:val="22"/>
          <w:szCs w:val="22"/>
        </w:rPr>
        <w:tab/>
      </w:r>
      <w:r w:rsidRPr="00276AE5">
        <w:rPr>
          <w:i/>
          <w:color w:val="00B0F0"/>
          <w:sz w:val="22"/>
          <w:szCs w:val="22"/>
        </w:rPr>
        <w:t>(POZN. Doplní objednatel)</w:t>
      </w:r>
    </w:p>
    <w:p w14:paraId="4C02A48D" w14:textId="2E7676C5" w:rsidR="00735463" w:rsidRPr="00276AE5" w:rsidRDefault="00735463" w:rsidP="00276AE5">
      <w:pPr>
        <w:pStyle w:val="Nzev"/>
        <w:jc w:val="both"/>
        <w:rPr>
          <w:b w:val="0"/>
          <w:sz w:val="22"/>
          <w:szCs w:val="22"/>
        </w:rPr>
      </w:pPr>
      <w:r w:rsidRPr="00276AE5">
        <w:rPr>
          <w:b w:val="0"/>
          <w:sz w:val="22"/>
          <w:szCs w:val="22"/>
        </w:rPr>
        <w:t xml:space="preserve">Číslo smlouvy zhotovitele: </w:t>
      </w:r>
      <w:r w:rsidRPr="00276AE5">
        <w:rPr>
          <w:b w:val="0"/>
          <w:sz w:val="22"/>
          <w:szCs w:val="22"/>
        </w:rPr>
        <w:tab/>
      </w:r>
      <w:r w:rsidRPr="00276AE5">
        <w:rPr>
          <w:b w:val="0"/>
          <w:i/>
          <w:color w:val="00B0F0"/>
          <w:sz w:val="22"/>
          <w:szCs w:val="22"/>
        </w:rPr>
        <w:t>(POZN. Doplní uchazeč, poté poznámku vymažte)</w:t>
      </w:r>
    </w:p>
    <w:p w14:paraId="371544A8" w14:textId="7A452CBD" w:rsidR="00735463" w:rsidRPr="00276AE5" w:rsidRDefault="00735463" w:rsidP="00735463">
      <w:pPr>
        <w:pStyle w:val="Nadpis1"/>
        <w:keepNext w:val="0"/>
        <w:numPr>
          <w:ilvl w:val="0"/>
          <w:numId w:val="7"/>
        </w:numPr>
        <w:spacing w:before="720" w:after="480" w:line="216" w:lineRule="auto"/>
        <w:ind w:left="284" w:hanging="284"/>
        <w:jc w:val="left"/>
        <w:rPr>
          <w:rFonts w:ascii="Arial Black" w:hAnsi="Arial Black"/>
          <w:b/>
          <w:i w:val="0"/>
        </w:rPr>
      </w:pPr>
      <w:r w:rsidRPr="00276AE5">
        <w:rPr>
          <w:rFonts w:ascii="Arial Black" w:hAnsi="Arial Black"/>
          <w:b/>
          <w:i w:val="0"/>
        </w:rPr>
        <w:t xml:space="preserve">Příloha č. </w:t>
      </w:r>
      <w:r>
        <w:rPr>
          <w:rFonts w:ascii="Arial Black" w:hAnsi="Arial Black"/>
          <w:b/>
          <w:i w:val="0"/>
        </w:rPr>
        <w:t>1</w:t>
      </w:r>
      <w:r w:rsidRPr="00276AE5">
        <w:rPr>
          <w:rFonts w:ascii="Arial Black" w:hAnsi="Arial Black"/>
          <w:b/>
          <w:i w:val="0"/>
        </w:rPr>
        <w:t xml:space="preserve"> SoD – </w:t>
      </w:r>
      <w:r>
        <w:rPr>
          <w:rFonts w:ascii="Arial Black" w:hAnsi="Arial Black"/>
          <w:b/>
          <w:i w:val="0"/>
        </w:rPr>
        <w:t>Technické požadavky na rozsah předmětu díla „PD částečná rekonstrukce měnírny Sokolská“</w:t>
      </w:r>
    </w:p>
    <w:p w14:paraId="181B46F4" w14:textId="77777777" w:rsidR="00311E07" w:rsidRDefault="00311E07" w:rsidP="00CE35E6">
      <w:pPr>
        <w:pStyle w:val="Odstavecseseznamem"/>
        <w:ind w:left="709"/>
        <w:contextualSpacing w:val="0"/>
        <w:rPr>
          <w:sz w:val="22"/>
          <w:szCs w:val="22"/>
        </w:rPr>
      </w:pPr>
    </w:p>
    <w:p w14:paraId="171E2F73" w14:textId="785D5B18" w:rsidR="00CE35E6" w:rsidRDefault="00A1549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Stávající t</w:t>
      </w:r>
      <w:r w:rsidR="00AE7A80">
        <w:rPr>
          <w:sz w:val="22"/>
          <w:szCs w:val="22"/>
        </w:rPr>
        <w:t xml:space="preserve">echnické údaje </w:t>
      </w:r>
      <w:r>
        <w:rPr>
          <w:sz w:val="22"/>
          <w:szCs w:val="22"/>
        </w:rPr>
        <w:t xml:space="preserve">a </w:t>
      </w:r>
      <w:r w:rsidR="00AE7A80">
        <w:rPr>
          <w:sz w:val="22"/>
          <w:szCs w:val="22"/>
        </w:rPr>
        <w:t>napěťové soustavy měnírny</w:t>
      </w:r>
    </w:p>
    <w:p w14:paraId="7C0F1F06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zkratový výkon sítě 22 kV</w:t>
      </w:r>
      <w:r w:rsidRPr="004057FF">
        <w:rPr>
          <w:sz w:val="22"/>
          <w:szCs w:val="22"/>
        </w:rPr>
        <w:tab/>
        <w:t>přibližně 200 MVA</w:t>
      </w:r>
    </w:p>
    <w:p w14:paraId="6B26179F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technické maximum měnírny</w:t>
      </w:r>
      <w:r w:rsidRPr="004057FF">
        <w:rPr>
          <w:sz w:val="22"/>
          <w:szCs w:val="22"/>
        </w:rPr>
        <w:tab/>
        <w:t>1100 kW</w:t>
      </w:r>
    </w:p>
    <w:p w14:paraId="2F652513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 xml:space="preserve">předpokládaná životnost technologie </w:t>
      </w:r>
      <w:r w:rsidRPr="004057FF">
        <w:rPr>
          <w:sz w:val="22"/>
          <w:szCs w:val="22"/>
        </w:rPr>
        <w:tab/>
        <w:t>30 let</w:t>
      </w:r>
    </w:p>
    <w:p w14:paraId="564C1C8C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trakčních transformátorů</w:t>
      </w:r>
      <w:r w:rsidRPr="004057FF">
        <w:rPr>
          <w:sz w:val="22"/>
          <w:szCs w:val="22"/>
        </w:rPr>
        <w:tab/>
        <w:t>2 ks</w:t>
      </w:r>
    </w:p>
    <w:p w14:paraId="40F00E1C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transformátor</w:t>
      </w:r>
      <w:r w:rsidRPr="004057FF">
        <w:rPr>
          <w:sz w:val="22"/>
          <w:szCs w:val="22"/>
        </w:rPr>
        <w:tab/>
        <w:t>630 kVA</w:t>
      </w:r>
    </w:p>
    <w:p w14:paraId="545A2D8D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zatížitelnost transformátoru</w:t>
      </w:r>
      <w:r w:rsidRPr="004057FF">
        <w:rPr>
          <w:sz w:val="22"/>
          <w:szCs w:val="22"/>
        </w:rPr>
        <w:tab/>
        <w:t>tř. V dle ČSN EN 50329</w:t>
      </w:r>
    </w:p>
    <w:p w14:paraId="22924AD9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usměrňovacích jednotek</w:t>
      </w:r>
      <w:r w:rsidRPr="004057FF">
        <w:rPr>
          <w:sz w:val="22"/>
          <w:szCs w:val="22"/>
        </w:rPr>
        <w:tab/>
        <w:t>2 ks</w:t>
      </w:r>
    </w:p>
    <w:p w14:paraId="614E2B64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trakční usměrňovač</w:t>
      </w:r>
      <w:r w:rsidRPr="004057FF">
        <w:rPr>
          <w:sz w:val="22"/>
          <w:szCs w:val="22"/>
        </w:rPr>
        <w:tab/>
        <w:t>1000 A, 750 V DC</w:t>
      </w:r>
    </w:p>
    <w:p w14:paraId="0EE37CE3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způsob provozu trakční soustavy</w:t>
      </w:r>
      <w:r w:rsidRPr="004057FF">
        <w:rPr>
          <w:sz w:val="22"/>
          <w:szCs w:val="22"/>
        </w:rPr>
        <w:tab/>
        <w:t>oba póly trolej</w:t>
      </w:r>
    </w:p>
    <w:p w14:paraId="483AD6F9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zapojení napáječových vypínačů</w:t>
      </w:r>
      <w:r w:rsidRPr="004057FF">
        <w:rPr>
          <w:sz w:val="22"/>
          <w:szCs w:val="22"/>
        </w:rPr>
        <w:tab/>
        <w:t>v minus pólu</w:t>
      </w:r>
    </w:p>
    <w:p w14:paraId="1455E560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provedení napáječových vypínačů</w:t>
      </w:r>
      <w:r w:rsidRPr="004057FF">
        <w:rPr>
          <w:sz w:val="22"/>
          <w:szCs w:val="22"/>
        </w:rPr>
        <w:tab/>
        <w:t>pevné</w:t>
      </w:r>
    </w:p>
    <w:p w14:paraId="3E4D6253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962"/>
        </w:tabs>
        <w:rPr>
          <w:sz w:val="22"/>
          <w:szCs w:val="22"/>
        </w:rPr>
      </w:pPr>
      <w:r w:rsidRPr="004057FF">
        <w:rPr>
          <w:sz w:val="22"/>
          <w:szCs w:val="22"/>
        </w:rPr>
        <w:t>počet napáječových skříní</w:t>
      </w:r>
      <w:r w:rsidRPr="004057FF">
        <w:rPr>
          <w:sz w:val="22"/>
          <w:szCs w:val="22"/>
        </w:rPr>
        <w:tab/>
        <w:t>5+1 pro trolejbus</w:t>
      </w:r>
    </w:p>
    <w:p w14:paraId="39C1EACF" w14:textId="77777777" w:rsidR="00AE7A80" w:rsidRPr="004057FF" w:rsidRDefault="00AE7A80" w:rsidP="00D060BA">
      <w:pPr>
        <w:pStyle w:val="Odstavecseseznamem"/>
        <w:numPr>
          <w:ilvl w:val="0"/>
          <w:numId w:val="5"/>
        </w:numPr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dálkové ovládání</w:t>
      </w:r>
      <w:r w:rsidRPr="004057FF">
        <w:rPr>
          <w:sz w:val="22"/>
          <w:szCs w:val="22"/>
        </w:rPr>
        <w:tab/>
        <w:t>systémem SAIA připojeno na dispečink</w:t>
      </w:r>
    </w:p>
    <w:p w14:paraId="5F59ED2D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primární napájecí síť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3 AC 50Hz 22kV / IT</w:t>
      </w:r>
    </w:p>
    <w:p w14:paraId="17ECB95B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napájení z trakčních transformátorů</w:t>
      </w:r>
      <w:r w:rsidRPr="004057FF">
        <w:rPr>
          <w:sz w:val="22"/>
          <w:szCs w:val="22"/>
        </w:rPr>
        <w:tab/>
        <w:t>3 AC 50Hz 514V / IT</w:t>
      </w:r>
    </w:p>
    <w:p w14:paraId="6F8FA203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trakční síť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2 DC 600V / IT (zařízení konstr. na 750 V DC)</w:t>
      </w:r>
    </w:p>
    <w:p w14:paraId="744731A4" w14:textId="77777777" w:rsidR="00AE7A80" w:rsidRPr="004057FF" w:rsidRDefault="00AE7A80" w:rsidP="00D060BA">
      <w:pPr>
        <w:pStyle w:val="Seznamsodrkami"/>
        <w:numPr>
          <w:ilvl w:val="0"/>
          <w:numId w:val="5"/>
        </w:numPr>
        <w:tabs>
          <w:tab w:val="left" w:pos="4395"/>
        </w:tabs>
        <w:rPr>
          <w:sz w:val="22"/>
          <w:szCs w:val="22"/>
        </w:rPr>
      </w:pPr>
      <w:r w:rsidRPr="004057FF">
        <w:rPr>
          <w:sz w:val="22"/>
          <w:szCs w:val="22"/>
        </w:rPr>
        <w:t>pomocná napětí</w:t>
      </w:r>
      <w:r w:rsidRPr="004057FF">
        <w:rPr>
          <w:sz w:val="22"/>
          <w:szCs w:val="22"/>
        </w:rPr>
        <w:tab/>
      </w:r>
      <w:r w:rsidRPr="004057FF">
        <w:rPr>
          <w:sz w:val="22"/>
          <w:szCs w:val="22"/>
        </w:rPr>
        <w:tab/>
        <w:t>2 DC 24V / FELV</w:t>
      </w:r>
    </w:p>
    <w:p w14:paraId="6A4857C9" w14:textId="77777777" w:rsidR="00AE7A80" w:rsidRPr="004057FF" w:rsidRDefault="00AE7A80" w:rsidP="00AE7A80">
      <w:pPr>
        <w:pStyle w:val="Seznamsodrkami"/>
        <w:numPr>
          <w:ilvl w:val="0"/>
          <w:numId w:val="0"/>
        </w:numPr>
        <w:tabs>
          <w:tab w:val="left" w:pos="4962"/>
        </w:tabs>
        <w:ind w:left="1146"/>
        <w:rPr>
          <w:sz w:val="22"/>
          <w:szCs w:val="22"/>
        </w:rPr>
      </w:pPr>
      <w:r w:rsidRPr="004057FF">
        <w:rPr>
          <w:sz w:val="22"/>
          <w:szCs w:val="22"/>
        </w:rPr>
        <w:tab/>
        <w:t>3 N PE AC 50Hz 400V / TN-C-S</w:t>
      </w:r>
    </w:p>
    <w:p w14:paraId="745CB9EB" w14:textId="77777777" w:rsidR="00CE35E6" w:rsidRPr="004057FF" w:rsidRDefault="00CE35E6" w:rsidP="00AE7A80">
      <w:pPr>
        <w:pStyle w:val="Odstavecseseznamem"/>
        <w:ind w:left="709"/>
        <w:contextualSpacing w:val="0"/>
        <w:rPr>
          <w:sz w:val="22"/>
          <w:szCs w:val="22"/>
        </w:rPr>
      </w:pPr>
    </w:p>
    <w:p w14:paraId="24556EE6" w14:textId="640B79D6" w:rsidR="004057FF" w:rsidRPr="004057FF" w:rsidRDefault="004057F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 xml:space="preserve">Zpracování projektové dokumentace pro stavební povolení </w:t>
      </w:r>
      <w:r w:rsidR="00D53C27">
        <w:rPr>
          <w:sz w:val="22"/>
          <w:szCs w:val="22"/>
        </w:rPr>
        <w:t xml:space="preserve">včetně zajištění kompletní inženýrské činnosti (dále jen DSP) </w:t>
      </w:r>
      <w:r w:rsidRPr="004057FF">
        <w:rPr>
          <w:sz w:val="22"/>
          <w:szCs w:val="22"/>
        </w:rPr>
        <w:t xml:space="preserve">a </w:t>
      </w:r>
      <w:r w:rsidR="00D53C27">
        <w:rPr>
          <w:sz w:val="22"/>
          <w:szCs w:val="22"/>
        </w:rPr>
        <w:t xml:space="preserve">dokumentace pro </w:t>
      </w:r>
      <w:r w:rsidRPr="004057FF">
        <w:rPr>
          <w:sz w:val="22"/>
          <w:szCs w:val="22"/>
        </w:rPr>
        <w:t>provádění stavby</w:t>
      </w:r>
      <w:r w:rsidR="00D53C27">
        <w:rPr>
          <w:sz w:val="22"/>
          <w:szCs w:val="22"/>
        </w:rPr>
        <w:t xml:space="preserve"> </w:t>
      </w:r>
      <w:r w:rsidR="00D53C27" w:rsidRPr="00E870DD">
        <w:rPr>
          <w:sz w:val="22"/>
          <w:szCs w:val="22"/>
        </w:rPr>
        <w:t>včetně oceněného i neoceněného soupisu prací</w:t>
      </w:r>
      <w:r w:rsidR="00D53C27">
        <w:rPr>
          <w:sz w:val="22"/>
          <w:szCs w:val="22"/>
        </w:rPr>
        <w:t xml:space="preserve"> (dále jen DPS) </w:t>
      </w:r>
      <w:r w:rsidR="00D53C27" w:rsidRPr="00E870DD">
        <w:rPr>
          <w:sz w:val="22"/>
          <w:szCs w:val="22"/>
        </w:rPr>
        <w:t>a výkon autorského dozoru po celou dobu trvání stavby</w:t>
      </w:r>
      <w:r w:rsidRPr="004057FF">
        <w:rPr>
          <w:sz w:val="22"/>
          <w:szCs w:val="22"/>
        </w:rPr>
        <w:t xml:space="preserve">, pro částečnou rekonstrukci trakční trolejbusové měnírny Sokolská USMXII. Rekonstrukce se bude týkat stejnosměrné trakční rozvodny R0,6kV včetně trakčních usměrňovačů a pomocných zařízení trakční měnírny (elektroinstalace, kamerový systém, EPS apod.) </w:t>
      </w:r>
    </w:p>
    <w:p w14:paraId="7C8C3136" w14:textId="77777777" w:rsidR="004057FF" w:rsidRDefault="004057FF" w:rsidP="004057FF">
      <w:pPr>
        <w:pStyle w:val="Odstavecseseznamem"/>
        <w:ind w:left="709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PD se nebude týkat technologie rozvodny R22kV, trakčních transformátorů, transformátoru vlastní spotřeby a transformátoru dílen.</w:t>
      </w:r>
    </w:p>
    <w:p w14:paraId="2948E5A5" w14:textId="77777777" w:rsidR="004057FF" w:rsidRPr="004057FF" w:rsidRDefault="004057F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Provést energetický výpočet napájení trakční měnírny a jednotlivých napájecích úseků včetně zpětných vedení, včetně případného provizorního napájení oblastí měníren Hrušov, Slezská, Hornopolní, (případně Sad B. Němcové).</w:t>
      </w:r>
    </w:p>
    <w:p w14:paraId="6C9EBCB0" w14:textId="77777777" w:rsidR="00CE35E6" w:rsidRPr="004057FF" w:rsidRDefault="00CE35E6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Zpracovat návrh organizace výstavby včetně návrhu provizorních stavů technologie měnírny při trvalém zachování provozu trolejbusové dopravy</w:t>
      </w:r>
    </w:p>
    <w:p w14:paraId="20B98C4C" w14:textId="228ECA1C" w:rsidR="004057FF" w:rsidRPr="004057FF" w:rsidRDefault="004057F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t>Rekonstrukce usměrňovacích skupin - usměrňovací jednotky dle parametrů trakčních transformátorů 750V IT. usměrňovač vyhovující ČSN 37  6754, čl. 4.3.1.a), c),</w:t>
      </w:r>
      <w:r w:rsidR="00F207DE">
        <w:rPr>
          <w:sz w:val="22"/>
          <w:szCs w:val="22"/>
        </w:rPr>
        <w:t xml:space="preserve"> (s ochranami proti přepětí)</w:t>
      </w:r>
    </w:p>
    <w:p w14:paraId="094809DE" w14:textId="77777777" w:rsidR="00CE35E6" w:rsidRDefault="004057FF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4057FF">
        <w:rPr>
          <w:sz w:val="22"/>
          <w:szCs w:val="22"/>
        </w:rPr>
        <w:lastRenderedPageBreak/>
        <w:t xml:space="preserve">Rekonstrukce napájecích stejnosměrných skříní </w:t>
      </w:r>
      <w:r>
        <w:rPr>
          <w:sz w:val="22"/>
          <w:szCs w:val="22"/>
        </w:rPr>
        <w:t>trolejbusových</w:t>
      </w:r>
      <w:r w:rsidRPr="004057FF">
        <w:rPr>
          <w:sz w:val="22"/>
          <w:szCs w:val="22"/>
        </w:rPr>
        <w:t xml:space="preserve">:  </w:t>
      </w:r>
      <w:r w:rsidR="00F207DE">
        <w:rPr>
          <w:sz w:val="22"/>
          <w:szCs w:val="22"/>
        </w:rPr>
        <w:t>5</w:t>
      </w:r>
      <w:r w:rsidRPr="004057FF">
        <w:rPr>
          <w:sz w:val="22"/>
          <w:szCs w:val="22"/>
        </w:rPr>
        <w:t xml:space="preserve"> + 1 rezerva, automatické přepnutí na rezervu i při režimu dálkového ovládání, navržená koncepce stejnosměrného rozvaděče bude využívat konstrukční prvky užité např. v měnírnách Kolejní, Hranečník, Slezská.</w:t>
      </w:r>
      <w:r>
        <w:rPr>
          <w:sz w:val="22"/>
          <w:szCs w:val="22"/>
        </w:rPr>
        <w:t xml:space="preserve"> (dvoupólové vypínání, hlídání izolačního stavu, zapracování přepěťových ochran L+, L- apod.)</w:t>
      </w:r>
    </w:p>
    <w:p w14:paraId="2BAF3D5A" w14:textId="024FA2DD" w:rsidR="00800D9B" w:rsidRDefault="00800D9B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800D9B">
        <w:rPr>
          <w:sz w:val="22"/>
          <w:szCs w:val="22"/>
        </w:rPr>
        <w:t>Rekonstrukce zpětného rozvaděče pro vývody L+</w:t>
      </w:r>
      <w:r>
        <w:rPr>
          <w:sz w:val="22"/>
          <w:szCs w:val="22"/>
        </w:rPr>
        <w:t xml:space="preserve"> (s motorickými odpojovači pr</w:t>
      </w:r>
      <w:r w:rsidR="00C008AF">
        <w:rPr>
          <w:sz w:val="22"/>
          <w:szCs w:val="22"/>
        </w:rPr>
        <w:t>o</w:t>
      </w:r>
      <w:r>
        <w:rPr>
          <w:sz w:val="22"/>
          <w:szCs w:val="22"/>
        </w:rPr>
        <w:t xml:space="preserve"> dvoupólové odpojení.</w:t>
      </w:r>
    </w:p>
    <w:p w14:paraId="7CD165E8" w14:textId="77777777" w:rsidR="00800D9B" w:rsidRDefault="00800D9B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38514D">
        <w:rPr>
          <w:sz w:val="22"/>
          <w:szCs w:val="22"/>
        </w:rPr>
        <w:t>Rekonstrukce řídicího systému a dálkového ovládání měnírny dle zavedených standardů DPO</w:t>
      </w:r>
      <w:r w:rsidR="0005340A">
        <w:rPr>
          <w:sz w:val="22"/>
          <w:szCs w:val="22"/>
        </w:rPr>
        <w:t xml:space="preserve"> (plná kompatibilita se stávajícím systémem)</w:t>
      </w:r>
      <w:r>
        <w:rPr>
          <w:sz w:val="22"/>
          <w:szCs w:val="22"/>
        </w:rPr>
        <w:t>, včetně úpravy vizualizace na energetickém dispečinku, záložním pracovišti ED s místním řídicím a vizualizačním PC, v provázanosti na řídící energetický systém (AISYS )</w:t>
      </w:r>
    </w:p>
    <w:p w14:paraId="083F68AD" w14:textId="44279848" w:rsidR="0005340A" w:rsidRDefault="0005340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640118">
        <w:rPr>
          <w:sz w:val="22"/>
          <w:szCs w:val="22"/>
        </w:rPr>
        <w:t>Rekonstrukce elektroinstalace celé budovy</w:t>
      </w:r>
      <w:r>
        <w:rPr>
          <w:sz w:val="22"/>
          <w:szCs w:val="22"/>
        </w:rPr>
        <w:t xml:space="preserve"> včetně el.</w:t>
      </w:r>
      <w:r w:rsidR="00C008AF">
        <w:rPr>
          <w:sz w:val="22"/>
          <w:szCs w:val="22"/>
        </w:rPr>
        <w:t xml:space="preserve"> </w:t>
      </w:r>
      <w:r>
        <w:rPr>
          <w:sz w:val="22"/>
          <w:szCs w:val="22"/>
        </w:rPr>
        <w:t>vytápění</w:t>
      </w:r>
    </w:p>
    <w:p w14:paraId="039F5DD6" w14:textId="77777777" w:rsidR="0005340A" w:rsidRDefault="0005340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R</w:t>
      </w:r>
      <w:r w:rsidRPr="0038514D">
        <w:rPr>
          <w:sz w:val="22"/>
          <w:szCs w:val="22"/>
        </w:rPr>
        <w:t>ekonstrukce uzemnění měnírny včetně pomocnéh</w:t>
      </w:r>
      <w:r>
        <w:rPr>
          <w:sz w:val="22"/>
          <w:szCs w:val="22"/>
        </w:rPr>
        <w:t>o zemniče a</w:t>
      </w:r>
      <w:r w:rsidRPr="00640118">
        <w:rPr>
          <w:sz w:val="22"/>
          <w:szCs w:val="22"/>
        </w:rPr>
        <w:t xml:space="preserve"> hromosvodu</w:t>
      </w:r>
      <w:r>
        <w:rPr>
          <w:sz w:val="22"/>
          <w:szCs w:val="22"/>
        </w:rPr>
        <w:t xml:space="preserve"> s provedením korozivního průzkumu umístění.</w:t>
      </w:r>
    </w:p>
    <w:p w14:paraId="13DF9BEF" w14:textId="21E31399" w:rsidR="0005340A" w:rsidRDefault="0005340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Rekonstrukce</w:t>
      </w:r>
      <w:r w:rsidRPr="0038514D">
        <w:rPr>
          <w:sz w:val="22"/>
          <w:szCs w:val="22"/>
        </w:rPr>
        <w:t xml:space="preserve"> kamerového systému</w:t>
      </w:r>
      <w:r>
        <w:rPr>
          <w:sz w:val="22"/>
          <w:szCs w:val="22"/>
        </w:rPr>
        <w:t xml:space="preserve"> s funkční vizualizací na energetický dispečink </w:t>
      </w:r>
      <w:r w:rsidR="00BA6FBE">
        <w:rPr>
          <w:sz w:val="22"/>
          <w:szCs w:val="22"/>
        </w:rPr>
        <w:t xml:space="preserve">a dohledové centrum </w:t>
      </w:r>
      <w:r>
        <w:rPr>
          <w:sz w:val="22"/>
          <w:szCs w:val="22"/>
        </w:rPr>
        <w:t>DP</w:t>
      </w:r>
      <w:r w:rsidR="00A87894">
        <w:rPr>
          <w:sz w:val="22"/>
          <w:szCs w:val="22"/>
        </w:rPr>
        <w:t xml:space="preserve"> dle standardu objednatele</w:t>
      </w:r>
      <w:r>
        <w:rPr>
          <w:sz w:val="22"/>
          <w:szCs w:val="22"/>
        </w:rPr>
        <w:t>.</w:t>
      </w:r>
    </w:p>
    <w:p w14:paraId="046DD45A" w14:textId="77777777" w:rsidR="00BA6FBE" w:rsidRDefault="00BA6FBE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Vybudování EPS (Elektronická požární signalizace) se signalizací na EDDP pomocí dálkového ovládání (SAIA) a případného rozšíření o napojení na dohledové centrum.</w:t>
      </w:r>
    </w:p>
    <w:p w14:paraId="047840D7" w14:textId="77777777" w:rsidR="00BA6FBE" w:rsidRDefault="00BA6FBE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Vybudování, osazení topných kabelů do okapového systému měnírny včetně automatického řízení.</w:t>
      </w:r>
    </w:p>
    <w:p w14:paraId="145C17CE" w14:textId="77777777" w:rsidR="00BA6FBE" w:rsidRPr="0005340A" w:rsidRDefault="00BA6FBE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Odporové spotřebiče (elektrické topení, topné kabely), které slouží pro vytápění, s možností dálkově vypínat z energetického informačního systému AISYS v době energetických špiček.</w:t>
      </w:r>
    </w:p>
    <w:p w14:paraId="2C09E6F2" w14:textId="77777777" w:rsidR="0005340A" w:rsidRDefault="0005340A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Výměna</w:t>
      </w:r>
      <w:r w:rsidRPr="007A62D1">
        <w:rPr>
          <w:sz w:val="22"/>
          <w:szCs w:val="22"/>
        </w:rPr>
        <w:t xml:space="preserve"> rozvaděče vlastní spotřeby dle nového projektu elektroinstalace, </w:t>
      </w:r>
      <w:r>
        <w:rPr>
          <w:sz w:val="22"/>
          <w:szCs w:val="22"/>
        </w:rPr>
        <w:t xml:space="preserve">včetně </w:t>
      </w:r>
      <w:r w:rsidRPr="007A62D1">
        <w:rPr>
          <w:sz w:val="22"/>
          <w:szCs w:val="22"/>
        </w:rPr>
        <w:t>oddělovací</w:t>
      </w:r>
      <w:r>
        <w:rPr>
          <w:sz w:val="22"/>
          <w:szCs w:val="22"/>
        </w:rPr>
        <w:t>ho transformátoru cizího zdroje</w:t>
      </w:r>
    </w:p>
    <w:p w14:paraId="12ED92BB" w14:textId="77777777" w:rsidR="00CE35E6" w:rsidRDefault="00CE35E6" w:rsidP="00D060BA">
      <w:pPr>
        <w:pStyle w:val="Odstavecseseznamem"/>
        <w:numPr>
          <w:ilvl w:val="0"/>
          <w:numId w:val="2"/>
        </w:numPr>
        <w:ind w:left="709" w:hanging="283"/>
        <w:contextualSpacing w:val="0"/>
        <w:rPr>
          <w:sz w:val="22"/>
          <w:szCs w:val="22"/>
        </w:rPr>
      </w:pPr>
      <w:r w:rsidRPr="00800D9B">
        <w:rPr>
          <w:sz w:val="22"/>
          <w:szCs w:val="22"/>
        </w:rPr>
        <w:t>provézt měření EMC.</w:t>
      </w:r>
    </w:p>
    <w:p w14:paraId="3F22C7FB" w14:textId="77777777" w:rsidR="00A77164" w:rsidRDefault="00A77164" w:rsidP="00A77164">
      <w:pPr>
        <w:rPr>
          <w:sz w:val="22"/>
          <w:szCs w:val="22"/>
        </w:rPr>
      </w:pPr>
    </w:p>
    <w:p w14:paraId="345EBCEE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 w:rsidRPr="00DA35E6">
        <w:rPr>
          <w:sz w:val="22"/>
          <w:szCs w:val="22"/>
        </w:rPr>
        <w:t xml:space="preserve">Rekonstrukce stavební části budovy potřebné pro celkovou rekonstrukci technologie </w:t>
      </w:r>
    </w:p>
    <w:p w14:paraId="3182BAA6" w14:textId="77777777" w:rsidR="00A77164" w:rsidRDefault="00A77164" w:rsidP="00A77164">
      <w:pPr>
        <w:pStyle w:val="Odstavecseseznamem"/>
        <w:rPr>
          <w:sz w:val="22"/>
          <w:szCs w:val="22"/>
        </w:rPr>
      </w:pPr>
      <w:r>
        <w:rPr>
          <w:sz w:val="22"/>
          <w:szCs w:val="22"/>
        </w:rPr>
        <w:t>minimálně v tomto rozsahu:</w:t>
      </w:r>
    </w:p>
    <w:p w14:paraId="7F3F3104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DA35E6">
        <w:rPr>
          <w:sz w:val="22"/>
          <w:szCs w:val="22"/>
        </w:rPr>
        <w:t>Úprava kabelového prostoru včetně stavebních prací</w:t>
      </w:r>
      <w:r>
        <w:rPr>
          <w:sz w:val="22"/>
          <w:szCs w:val="22"/>
        </w:rPr>
        <w:t>,</w:t>
      </w:r>
      <w:r w:rsidRPr="00CE572A">
        <w:rPr>
          <w:sz w:val="22"/>
          <w:szCs w:val="22"/>
        </w:rPr>
        <w:t xml:space="preserve"> </w:t>
      </w:r>
      <w:r>
        <w:rPr>
          <w:sz w:val="22"/>
          <w:szCs w:val="22"/>
        </w:rPr>
        <w:t>- sanace stávajícího zdiva podlahy</w:t>
      </w:r>
      <w:r w:rsidR="00542916">
        <w:rPr>
          <w:sz w:val="22"/>
          <w:szCs w:val="22"/>
        </w:rPr>
        <w:t>,</w:t>
      </w:r>
      <w:r>
        <w:rPr>
          <w:sz w:val="22"/>
          <w:szCs w:val="22"/>
        </w:rPr>
        <w:t xml:space="preserve"> oprava vnějších hydroizolací </w:t>
      </w:r>
    </w:p>
    <w:p w14:paraId="364867EE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Oprava a bourání vstupních ramp a zdí do SS rozvodny a trakční měnírny včetně dveří a schodišť.</w:t>
      </w:r>
    </w:p>
    <w:p w14:paraId="12C7EA82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Oprava venkovních zpevněných ploch</w:t>
      </w:r>
    </w:p>
    <w:p w14:paraId="1A7C36ED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E00898">
        <w:rPr>
          <w:sz w:val="22"/>
          <w:szCs w:val="22"/>
        </w:rPr>
        <w:t>Rekonstrukce sociálního zařízení – výměna stávajících zařizovacích předmětů, demontáž stávajících obkladů a dlažeb, montáž nových obkladů a dlažeb.</w:t>
      </w:r>
    </w:p>
    <w:p w14:paraId="2A53D054" w14:textId="7F35F272" w:rsidR="00A77164" w:rsidRPr="00E00898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E00898">
        <w:rPr>
          <w:sz w:val="22"/>
          <w:szCs w:val="22"/>
        </w:rPr>
        <w:t>Vyprojektování vzduchotechniky</w:t>
      </w:r>
      <w:r w:rsidR="00C008AF">
        <w:rPr>
          <w:sz w:val="22"/>
          <w:szCs w:val="22"/>
        </w:rPr>
        <w:t xml:space="preserve"> -</w:t>
      </w:r>
      <w:r w:rsidR="00A87894">
        <w:rPr>
          <w:sz w:val="22"/>
          <w:szCs w:val="22"/>
        </w:rPr>
        <w:t xml:space="preserve"> </w:t>
      </w:r>
      <w:r w:rsidRPr="00E00898">
        <w:rPr>
          <w:sz w:val="22"/>
          <w:szCs w:val="22"/>
        </w:rPr>
        <w:t>automatické větrání se samouzavíráním a řízením dle teploty ve vn i ss</w:t>
      </w:r>
      <w:r w:rsidR="00C008AF">
        <w:rPr>
          <w:sz w:val="22"/>
          <w:szCs w:val="22"/>
        </w:rPr>
        <w:t xml:space="preserve"> </w:t>
      </w:r>
      <w:r w:rsidRPr="00E00898">
        <w:rPr>
          <w:sz w:val="22"/>
          <w:szCs w:val="22"/>
        </w:rPr>
        <w:t>části s možností ručního ovládání</w:t>
      </w:r>
    </w:p>
    <w:p w14:paraId="6C6C0320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Malování celého objektu měnírny</w:t>
      </w:r>
    </w:p>
    <w:p w14:paraId="06C0CFF3" w14:textId="682319A6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Oprava vnitřních a venkovních omítek + jednotný nátěr omítek (venkovních)</w:t>
      </w:r>
      <w:r w:rsidR="00A87894">
        <w:rPr>
          <w:sz w:val="22"/>
          <w:szCs w:val="22"/>
        </w:rPr>
        <w:t xml:space="preserve"> dle standardu objednatele</w:t>
      </w:r>
    </w:p>
    <w:p w14:paraId="2DF6515B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 w:rsidRPr="00172B70">
        <w:rPr>
          <w:sz w:val="22"/>
          <w:szCs w:val="22"/>
        </w:rPr>
        <w:t>Bourací práce v kabelovém prostoru,</w:t>
      </w:r>
      <w:r>
        <w:rPr>
          <w:sz w:val="22"/>
          <w:szCs w:val="22"/>
        </w:rPr>
        <w:t xml:space="preserve"> </w:t>
      </w:r>
      <w:r w:rsidRPr="00172B70">
        <w:rPr>
          <w:sz w:val="22"/>
          <w:szCs w:val="22"/>
        </w:rPr>
        <w:t>nové kabelové trasy a lávky</w:t>
      </w:r>
    </w:p>
    <w:p w14:paraId="5D9BCCC0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Doplnění (zabetonování, zazdění) stávajících otvorů ve stropu</w:t>
      </w:r>
      <w:r w:rsidR="00542916">
        <w:rPr>
          <w:sz w:val="22"/>
          <w:szCs w:val="22"/>
        </w:rPr>
        <w:t>,</w:t>
      </w:r>
      <w:r>
        <w:rPr>
          <w:sz w:val="22"/>
          <w:szCs w:val="22"/>
        </w:rPr>
        <w:t xml:space="preserve"> zdech</w:t>
      </w:r>
      <w:r w:rsidR="00542916">
        <w:rPr>
          <w:sz w:val="22"/>
          <w:szCs w:val="22"/>
        </w:rPr>
        <w:t xml:space="preserve"> a podlahách</w:t>
      </w:r>
    </w:p>
    <w:p w14:paraId="3D0AC089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Vyrovnání stávající podlahy v I. NP samonivelační stěrkou + položení nové krytiny PVC</w:t>
      </w:r>
    </w:p>
    <w:p w14:paraId="608918FD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Úprava stávajících betonových podlah v kabelovém prostoru</w:t>
      </w:r>
    </w:p>
    <w:p w14:paraId="06909E38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Výměna stávajících okenních otvorů v provedení „antivandal“ </w:t>
      </w:r>
    </w:p>
    <w:p w14:paraId="75128AEE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Výměna stávajících střešních okapů a svodů, oprava střechy</w:t>
      </w:r>
    </w:p>
    <w:p w14:paraId="6368BC54" w14:textId="77777777" w:rsidR="00A77164" w:rsidRDefault="00A77164" w:rsidP="00D060B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sz w:val="22"/>
          <w:szCs w:val="22"/>
        </w:rPr>
      </w:pPr>
      <w:r>
        <w:rPr>
          <w:sz w:val="22"/>
          <w:szCs w:val="22"/>
        </w:rPr>
        <w:t>Nátěry nových a stávajících zámečnických konstrukcí</w:t>
      </w:r>
    </w:p>
    <w:p w14:paraId="440DC3B3" w14:textId="77777777" w:rsidR="00A77164" w:rsidRDefault="00A77164" w:rsidP="00A77164">
      <w:pPr>
        <w:pStyle w:val="Odstavecseseznamem"/>
        <w:ind w:left="1276"/>
        <w:contextualSpacing w:val="0"/>
        <w:rPr>
          <w:sz w:val="22"/>
          <w:szCs w:val="22"/>
        </w:rPr>
      </w:pPr>
    </w:p>
    <w:p w14:paraId="5F19740E" w14:textId="77777777" w:rsidR="00A77164" w:rsidRDefault="00A77164" w:rsidP="00A77164">
      <w:pPr>
        <w:pStyle w:val="Odstavecseseznamem"/>
        <w:ind w:left="1276"/>
        <w:contextualSpacing w:val="0"/>
        <w:rPr>
          <w:sz w:val="22"/>
          <w:szCs w:val="22"/>
        </w:rPr>
      </w:pPr>
    </w:p>
    <w:p w14:paraId="6E86289B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Zpracování </w:t>
      </w:r>
      <w:r w:rsidRPr="00DA35E6">
        <w:rPr>
          <w:sz w:val="22"/>
          <w:szCs w:val="22"/>
        </w:rPr>
        <w:t>požárně bezpečnostní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řešení celé</w:t>
      </w:r>
      <w:r>
        <w:rPr>
          <w:sz w:val="22"/>
          <w:szCs w:val="22"/>
        </w:rPr>
        <w:t>ho</w:t>
      </w:r>
      <w:r w:rsidRPr="00DA35E6">
        <w:rPr>
          <w:sz w:val="22"/>
          <w:szCs w:val="22"/>
        </w:rPr>
        <w:t xml:space="preserve"> </w:t>
      </w:r>
      <w:r>
        <w:rPr>
          <w:sz w:val="22"/>
          <w:szCs w:val="22"/>
        </w:rPr>
        <w:t>objektu budovy</w:t>
      </w:r>
    </w:p>
    <w:p w14:paraId="2BD0B540" w14:textId="77777777" w:rsidR="00A77164" w:rsidRPr="008C2821" w:rsidRDefault="00A77164" w:rsidP="00DC6F7E">
      <w:pPr>
        <w:pStyle w:val="Odstavecseseznamem"/>
        <w:ind w:left="1134" w:hanging="283"/>
        <w:rPr>
          <w:sz w:val="22"/>
          <w:szCs w:val="22"/>
        </w:rPr>
      </w:pPr>
      <w:r w:rsidRPr="008C2821">
        <w:rPr>
          <w:sz w:val="22"/>
          <w:szCs w:val="22"/>
        </w:rPr>
        <w:t xml:space="preserve">- </w:t>
      </w:r>
      <w:r w:rsidR="00542916">
        <w:rPr>
          <w:sz w:val="22"/>
          <w:szCs w:val="22"/>
        </w:rPr>
        <w:tab/>
      </w:r>
      <w:r w:rsidRPr="00A77164">
        <w:rPr>
          <w:sz w:val="22"/>
          <w:szCs w:val="22"/>
        </w:rPr>
        <w:t>Zapracovat požadavky vyplývající z požárně bezpečnostního řešení, požární přepážky</w:t>
      </w:r>
      <w:r w:rsidR="00DC6F7E">
        <w:rPr>
          <w:sz w:val="22"/>
          <w:szCs w:val="22"/>
        </w:rPr>
        <w:t>, d</w:t>
      </w:r>
      <w:r w:rsidRPr="00A77164">
        <w:rPr>
          <w:sz w:val="22"/>
          <w:szCs w:val="22"/>
        </w:rPr>
        <w:t>veře, ucpávky, poklopy do projektu včetně únikových tras</w:t>
      </w:r>
      <w:r>
        <w:t xml:space="preserve"> </w:t>
      </w:r>
    </w:p>
    <w:p w14:paraId="00C6244E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Provedení veškerých potřebných stavebně technických průzkumů nutných ke zpracování PD.</w:t>
      </w:r>
    </w:p>
    <w:p w14:paraId="63945394" w14:textId="67FF54AD" w:rsidR="008A5139" w:rsidRDefault="00A77164" w:rsidP="008A5139">
      <w:pPr>
        <w:pStyle w:val="Odstavecseseznamem"/>
        <w:numPr>
          <w:ilvl w:val="0"/>
          <w:numId w:val="1"/>
        </w:numPr>
        <w:contextualSpacing w:val="0"/>
        <w:rPr>
          <w:sz w:val="22"/>
          <w:szCs w:val="22"/>
        </w:rPr>
      </w:pPr>
      <w:r>
        <w:rPr>
          <w:sz w:val="22"/>
          <w:szCs w:val="22"/>
        </w:rPr>
        <w:t>Zpracování rozpočtu a soupisu prací vč. výkazu výměr pro všechny SO a PS včetně slepého</w:t>
      </w:r>
      <w:r w:rsidR="001F6D90">
        <w:rPr>
          <w:sz w:val="22"/>
          <w:szCs w:val="22"/>
        </w:rPr>
        <w:t xml:space="preserve"> rozpočtu</w:t>
      </w:r>
      <w:r>
        <w:rPr>
          <w:sz w:val="22"/>
          <w:szCs w:val="22"/>
        </w:rPr>
        <w:t xml:space="preserve"> pro zadávací dokumentaci pro výběr zhotovitele</w:t>
      </w:r>
      <w:r w:rsidR="00DC6F7E">
        <w:rPr>
          <w:sz w:val="22"/>
          <w:szCs w:val="22"/>
        </w:rPr>
        <w:t>,</w:t>
      </w:r>
      <w:r w:rsidR="008A5139" w:rsidRPr="008A5139">
        <w:rPr>
          <w:sz w:val="22"/>
          <w:szCs w:val="22"/>
        </w:rPr>
        <w:t xml:space="preserve"> </w:t>
      </w:r>
      <w:r w:rsidR="008A5139">
        <w:rPr>
          <w:sz w:val="22"/>
          <w:szCs w:val="22"/>
        </w:rPr>
        <w:t xml:space="preserve">který bude </w:t>
      </w:r>
      <w:r w:rsidR="008A5139" w:rsidRPr="00091876">
        <w:rPr>
          <w:sz w:val="22"/>
          <w:szCs w:val="22"/>
        </w:rPr>
        <w:t>zpracován v souladu s</w:t>
      </w:r>
      <w:r w:rsidR="008A5139">
        <w:rPr>
          <w:sz w:val="22"/>
          <w:szCs w:val="22"/>
        </w:rPr>
        <w:t> </w:t>
      </w:r>
      <w:r w:rsidR="008A5139" w:rsidRPr="00091876">
        <w:rPr>
          <w:sz w:val="22"/>
          <w:szCs w:val="22"/>
        </w:rPr>
        <w:t>vyhláškou č. 169/2016 Sb., o stanovení rozsahu dokumentace veřejné zakázky na stavební práce a soupisu stavebních prací, dodávek a služeb s výkazem výměr</w:t>
      </w:r>
    </w:p>
    <w:p w14:paraId="4C6B85D3" w14:textId="76AC2B60" w:rsidR="00DC6F7E" w:rsidRDefault="008A5139" w:rsidP="008A5139">
      <w:pPr>
        <w:pStyle w:val="Odstavecseseznamem"/>
        <w:numPr>
          <w:ilvl w:val="0"/>
          <w:numId w:val="6"/>
        </w:numPr>
        <w:ind w:left="1134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soupis prací bude obsahovat odkazy výpočet </w:t>
      </w:r>
      <w:r w:rsidRPr="00091876">
        <w:rPr>
          <w:sz w:val="22"/>
          <w:szCs w:val="22"/>
        </w:rPr>
        <w:t>předpokládaného množství položky</w:t>
      </w:r>
      <w:r>
        <w:rPr>
          <w:sz w:val="22"/>
          <w:szCs w:val="22"/>
        </w:rPr>
        <w:t xml:space="preserve"> a o</w:t>
      </w:r>
      <w:r w:rsidRPr="00091876">
        <w:rPr>
          <w:sz w:val="22"/>
          <w:szCs w:val="22"/>
        </w:rPr>
        <w:t>dkaz na příslušnou grafickou nebo textovou část dokumentace</w:t>
      </w:r>
      <w:bookmarkStart w:id="0" w:name="_GoBack"/>
      <w:bookmarkEnd w:id="0"/>
    </w:p>
    <w:p w14:paraId="53F9C00D" w14:textId="6B157B7A" w:rsidR="00A77164" w:rsidRDefault="00A77164" w:rsidP="00D060BA">
      <w:pPr>
        <w:pStyle w:val="Odstavecseseznamem"/>
        <w:numPr>
          <w:ilvl w:val="0"/>
          <w:numId w:val="6"/>
        </w:numPr>
        <w:ind w:left="1134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>v soupisu prací uvést i ochranné pomůcky pro obsluhu (např.:</w:t>
      </w:r>
      <w:r w:rsidR="00DC6F7E">
        <w:rPr>
          <w:sz w:val="22"/>
          <w:szCs w:val="22"/>
        </w:rPr>
        <w:t xml:space="preserve"> dielektrické </w:t>
      </w:r>
      <w:r>
        <w:rPr>
          <w:sz w:val="22"/>
          <w:szCs w:val="22"/>
        </w:rPr>
        <w:t>rukavice, zkratovací soupravy, ovládací tyče</w:t>
      </w:r>
      <w:r w:rsidR="00DC6F7E">
        <w:rPr>
          <w:sz w:val="22"/>
          <w:szCs w:val="22"/>
        </w:rPr>
        <w:t xml:space="preserve">, </w:t>
      </w:r>
      <w:r>
        <w:rPr>
          <w:sz w:val="22"/>
          <w:szCs w:val="22"/>
        </w:rPr>
        <w:t>klíče</w:t>
      </w:r>
      <w:r w:rsidR="00DC6F7E">
        <w:rPr>
          <w:sz w:val="22"/>
          <w:szCs w:val="22"/>
        </w:rPr>
        <w:t xml:space="preserve"> a zamykací příslušenství k</w:t>
      </w:r>
      <w:r w:rsidR="00542916">
        <w:rPr>
          <w:sz w:val="22"/>
          <w:szCs w:val="22"/>
        </w:rPr>
        <w:t> odpojovačům apod.</w:t>
      </w:r>
      <w:r>
        <w:rPr>
          <w:sz w:val="22"/>
          <w:szCs w:val="22"/>
        </w:rPr>
        <w:t>) včetně dielektrických koberců u každého el.</w:t>
      </w:r>
      <w:r w:rsidR="001F6D90">
        <w:rPr>
          <w:sz w:val="22"/>
          <w:szCs w:val="22"/>
        </w:rPr>
        <w:t xml:space="preserve"> </w:t>
      </w:r>
      <w:r>
        <w:rPr>
          <w:sz w:val="22"/>
          <w:szCs w:val="22"/>
        </w:rPr>
        <w:t>zařízení</w:t>
      </w:r>
      <w:r w:rsidR="00DC6F7E">
        <w:rPr>
          <w:sz w:val="22"/>
          <w:szCs w:val="22"/>
        </w:rPr>
        <w:t xml:space="preserve">, </w:t>
      </w:r>
    </w:p>
    <w:p w14:paraId="2F499435" w14:textId="77777777" w:rsidR="00DC6F7E" w:rsidRDefault="00DC6F7E" w:rsidP="00D060BA">
      <w:pPr>
        <w:pStyle w:val="Odstavecseseznamem"/>
        <w:numPr>
          <w:ilvl w:val="0"/>
          <w:numId w:val="6"/>
        </w:numPr>
        <w:ind w:left="1134" w:hanging="28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náklady na požadavky, které nejsou součástí PD, ale vycházejí z technické zprávy </w:t>
      </w:r>
      <w:r w:rsidR="00542916">
        <w:rPr>
          <w:sz w:val="22"/>
          <w:szCs w:val="22"/>
        </w:rPr>
        <w:t xml:space="preserve">a požadavků objednatele </w:t>
      </w:r>
      <w:r>
        <w:rPr>
          <w:sz w:val="22"/>
          <w:szCs w:val="22"/>
        </w:rPr>
        <w:t>(měření EMC, revize, prohlídky a zkoušky zařízení UTZ, zajištění výluk u dodavatele el. energie</w:t>
      </w:r>
      <w:r w:rsidR="00542916">
        <w:rPr>
          <w:sz w:val="22"/>
          <w:szCs w:val="22"/>
        </w:rPr>
        <w:t>, zajištění změn průkazu způsobilosti apod.)</w:t>
      </w:r>
    </w:p>
    <w:p w14:paraId="62D86AC8" w14:textId="77777777" w:rsidR="00A77164" w:rsidRDefault="00A77164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Zajištění souhlasného stanoviska Hasičského záchranného sboru a Krajské hygienické stanice Moravskoslezského kraje, ČEZ, Drážního úřadu</w:t>
      </w:r>
    </w:p>
    <w:p w14:paraId="23856F19" w14:textId="77777777" w:rsidR="00DC6F7E" w:rsidRDefault="00DC6F7E" w:rsidP="00D060BA">
      <w:pPr>
        <w:pStyle w:val="Odstavecseseznamem"/>
        <w:numPr>
          <w:ilvl w:val="0"/>
          <w:numId w:val="1"/>
        </w:numPr>
        <w:ind w:left="709" w:hanging="284"/>
        <w:contextualSpacing w:val="0"/>
        <w:rPr>
          <w:sz w:val="22"/>
          <w:szCs w:val="22"/>
        </w:rPr>
      </w:pPr>
      <w:r w:rsidRPr="00C72E60">
        <w:rPr>
          <w:sz w:val="22"/>
          <w:szCs w:val="22"/>
        </w:rPr>
        <w:t>Zajištění souhrnného kladného stanoviska objednatele k PD.</w:t>
      </w:r>
    </w:p>
    <w:p w14:paraId="5103CFE6" w14:textId="77777777" w:rsidR="00203037" w:rsidRDefault="00203037" w:rsidP="00203037">
      <w:pPr>
        <w:rPr>
          <w:sz w:val="22"/>
          <w:szCs w:val="22"/>
        </w:rPr>
      </w:pPr>
    </w:p>
    <w:sectPr w:rsidR="00203037" w:rsidSect="008F6DB6">
      <w:headerReference w:type="default" r:id="rId8"/>
      <w:pgSz w:w="11906" w:h="16838"/>
      <w:pgMar w:top="212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29227" w14:textId="77777777" w:rsidR="0052093A" w:rsidRDefault="0052093A" w:rsidP="00F254B2">
      <w:r>
        <w:separator/>
      </w:r>
    </w:p>
  </w:endnote>
  <w:endnote w:type="continuationSeparator" w:id="0">
    <w:p w14:paraId="76973BC8" w14:textId="77777777" w:rsidR="0052093A" w:rsidRDefault="0052093A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58B76" w14:textId="77777777" w:rsidR="0052093A" w:rsidRDefault="0052093A" w:rsidP="00F254B2">
      <w:r>
        <w:separator/>
      </w:r>
    </w:p>
  </w:footnote>
  <w:footnote w:type="continuationSeparator" w:id="0">
    <w:p w14:paraId="534C0A56" w14:textId="77777777" w:rsidR="0052093A" w:rsidRDefault="0052093A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C96B" w14:textId="63C90BCC" w:rsidR="00735463" w:rsidRDefault="00735463" w:rsidP="00735463">
    <w:pPr>
      <w:pStyle w:val="Zhlav"/>
      <w:tabs>
        <w:tab w:val="clear" w:pos="4536"/>
        <w:tab w:val="clear" w:pos="9072"/>
      </w:tabs>
      <w:jc w:val="left"/>
    </w:pPr>
    <w:r w:rsidRPr="00E952C4">
      <w:rPr>
        <w:noProof/>
      </w:rPr>
      <w:drawing>
        <wp:anchor distT="0" distB="0" distL="114300" distR="114300" simplePos="0" relativeHeight="251661312" behindDoc="0" locked="0" layoutInCell="1" allowOverlap="1" wp14:anchorId="308BDA00" wp14:editId="2EF46ADD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t xml:space="preserve">Příloha č. </w:t>
    </w:r>
    <w:r w:rsidR="00AC5566">
      <w:t>2</w:t>
    </w:r>
    <w:r w:rsidR="00AC5566" w:rsidRPr="00E952C4">
      <w:t xml:space="preserve"> </w:t>
    </w:r>
    <w:r w:rsidRPr="00E70652">
      <w:t>Zadávací dokumentace</w:t>
    </w:r>
  </w:p>
  <w:p w14:paraId="4CC40332" w14:textId="2098695F" w:rsidR="00514413" w:rsidRDefault="00735463" w:rsidP="00F254B2">
    <w:pPr>
      <w:pStyle w:val="Zhlav"/>
      <w:jc w:val="right"/>
      <w:rPr>
        <w:i/>
        <w:noProof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800A43A" wp14:editId="47B9299C">
          <wp:simplePos x="0" y="0"/>
          <wp:positionH relativeFrom="page">
            <wp:posOffset>940435</wp:posOffset>
          </wp:positionH>
          <wp:positionV relativeFrom="page">
            <wp:posOffset>599440</wp:posOffset>
          </wp:positionV>
          <wp:extent cx="1866900" cy="504825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6BB699C" w14:textId="77777777"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14:paraId="2ECF5459" w14:textId="3ADFA9CB" w:rsidR="00766257" w:rsidRDefault="00766257" w:rsidP="00F254B2">
    <w:pPr>
      <w:pStyle w:val="Zhlav"/>
      <w:jc w:val="right"/>
      <w:rPr>
        <w:i/>
        <w:sz w:val="20"/>
        <w:szCs w:val="20"/>
      </w:rPr>
    </w:pPr>
  </w:p>
  <w:p w14:paraId="62E3A988" w14:textId="77777777" w:rsidR="00766257" w:rsidRDefault="00766257" w:rsidP="00F254B2">
    <w:pPr>
      <w:pStyle w:val="Zhlav"/>
      <w:jc w:val="right"/>
      <w:rPr>
        <w:i/>
        <w:sz w:val="20"/>
        <w:szCs w:val="20"/>
      </w:rPr>
    </w:pPr>
  </w:p>
  <w:p w14:paraId="52EBA005" w14:textId="77777777"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D48"/>
    <w:multiLevelType w:val="hybridMultilevel"/>
    <w:tmpl w:val="BB2C19A0"/>
    <w:lvl w:ilvl="0" w:tplc="ED16194E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A171A1"/>
    <w:multiLevelType w:val="singleLevel"/>
    <w:tmpl w:val="650CD4D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135CE"/>
    <w:multiLevelType w:val="hybridMultilevel"/>
    <w:tmpl w:val="A92A39B4"/>
    <w:lvl w:ilvl="0" w:tplc="ED16194E">
      <w:start w:val="1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61373A8B"/>
    <w:multiLevelType w:val="hybridMultilevel"/>
    <w:tmpl w:val="7960DF48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659554ED"/>
    <w:multiLevelType w:val="hybridMultilevel"/>
    <w:tmpl w:val="AF5E3FDE"/>
    <w:lvl w:ilvl="0" w:tplc="ED16194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E5105"/>
    <w:multiLevelType w:val="hybridMultilevel"/>
    <w:tmpl w:val="9A948B1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3FC8"/>
    <w:rsid w:val="00004415"/>
    <w:rsid w:val="00005B5B"/>
    <w:rsid w:val="000071BB"/>
    <w:rsid w:val="00014CE0"/>
    <w:rsid w:val="00015D6C"/>
    <w:rsid w:val="000217DD"/>
    <w:rsid w:val="00025621"/>
    <w:rsid w:val="00027D6B"/>
    <w:rsid w:val="00042163"/>
    <w:rsid w:val="000446AF"/>
    <w:rsid w:val="00045896"/>
    <w:rsid w:val="00045AF2"/>
    <w:rsid w:val="00046FD8"/>
    <w:rsid w:val="00050FFA"/>
    <w:rsid w:val="00051433"/>
    <w:rsid w:val="00051D43"/>
    <w:rsid w:val="0005340A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0BA2"/>
    <w:rsid w:val="00085FF3"/>
    <w:rsid w:val="00087F7B"/>
    <w:rsid w:val="00091BDF"/>
    <w:rsid w:val="00093413"/>
    <w:rsid w:val="00093AF8"/>
    <w:rsid w:val="000957D2"/>
    <w:rsid w:val="00097CEF"/>
    <w:rsid w:val="000B3D65"/>
    <w:rsid w:val="000B3DDA"/>
    <w:rsid w:val="000C115B"/>
    <w:rsid w:val="000C4E3F"/>
    <w:rsid w:val="000D15DE"/>
    <w:rsid w:val="000E1352"/>
    <w:rsid w:val="000E25D1"/>
    <w:rsid w:val="000E3653"/>
    <w:rsid w:val="000E4C0A"/>
    <w:rsid w:val="000E52FE"/>
    <w:rsid w:val="000E53CB"/>
    <w:rsid w:val="000F51D7"/>
    <w:rsid w:val="000F621D"/>
    <w:rsid w:val="00100588"/>
    <w:rsid w:val="0011001D"/>
    <w:rsid w:val="001104E5"/>
    <w:rsid w:val="001125E5"/>
    <w:rsid w:val="00113FAB"/>
    <w:rsid w:val="0011782A"/>
    <w:rsid w:val="0012026C"/>
    <w:rsid w:val="00121C01"/>
    <w:rsid w:val="00131680"/>
    <w:rsid w:val="00137821"/>
    <w:rsid w:val="00144E69"/>
    <w:rsid w:val="00147157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D0844"/>
    <w:rsid w:val="001D374B"/>
    <w:rsid w:val="001D429E"/>
    <w:rsid w:val="001D7AEB"/>
    <w:rsid w:val="001E1859"/>
    <w:rsid w:val="001E4B95"/>
    <w:rsid w:val="001F23AF"/>
    <w:rsid w:val="001F2448"/>
    <w:rsid w:val="001F6D90"/>
    <w:rsid w:val="00201642"/>
    <w:rsid w:val="00202C5C"/>
    <w:rsid w:val="00203037"/>
    <w:rsid w:val="0020348E"/>
    <w:rsid w:val="00222E79"/>
    <w:rsid w:val="0022307B"/>
    <w:rsid w:val="002277D0"/>
    <w:rsid w:val="002352A4"/>
    <w:rsid w:val="00235D22"/>
    <w:rsid w:val="00244FAF"/>
    <w:rsid w:val="002457E8"/>
    <w:rsid w:val="00246A6B"/>
    <w:rsid w:val="00262DCA"/>
    <w:rsid w:val="0026490E"/>
    <w:rsid w:val="00264A9A"/>
    <w:rsid w:val="00274172"/>
    <w:rsid w:val="00276AE5"/>
    <w:rsid w:val="00281523"/>
    <w:rsid w:val="002849BA"/>
    <w:rsid w:val="002A0B90"/>
    <w:rsid w:val="002A1360"/>
    <w:rsid w:val="002B0049"/>
    <w:rsid w:val="002B1C13"/>
    <w:rsid w:val="002B4619"/>
    <w:rsid w:val="002B6A4F"/>
    <w:rsid w:val="002C0F64"/>
    <w:rsid w:val="002E0859"/>
    <w:rsid w:val="002E1243"/>
    <w:rsid w:val="002E2D74"/>
    <w:rsid w:val="002E4F35"/>
    <w:rsid w:val="002E5DBA"/>
    <w:rsid w:val="00303413"/>
    <w:rsid w:val="003061E3"/>
    <w:rsid w:val="00311E07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601CF"/>
    <w:rsid w:val="00373F1D"/>
    <w:rsid w:val="0038544E"/>
    <w:rsid w:val="003854B0"/>
    <w:rsid w:val="00386A1A"/>
    <w:rsid w:val="00391756"/>
    <w:rsid w:val="0039457C"/>
    <w:rsid w:val="00397225"/>
    <w:rsid w:val="003A21E5"/>
    <w:rsid w:val="003A3BA7"/>
    <w:rsid w:val="003A62F4"/>
    <w:rsid w:val="003B1662"/>
    <w:rsid w:val="003B2940"/>
    <w:rsid w:val="003B4AC3"/>
    <w:rsid w:val="003C2A97"/>
    <w:rsid w:val="003C2AE2"/>
    <w:rsid w:val="003C3B3F"/>
    <w:rsid w:val="003C3BC8"/>
    <w:rsid w:val="003C6E39"/>
    <w:rsid w:val="003D0CD8"/>
    <w:rsid w:val="003D4222"/>
    <w:rsid w:val="003E34FB"/>
    <w:rsid w:val="003F1A15"/>
    <w:rsid w:val="003F7332"/>
    <w:rsid w:val="004057FF"/>
    <w:rsid w:val="00407DE8"/>
    <w:rsid w:val="00407FE1"/>
    <w:rsid w:val="00412446"/>
    <w:rsid w:val="004126E6"/>
    <w:rsid w:val="004176D8"/>
    <w:rsid w:val="00441879"/>
    <w:rsid w:val="004547C8"/>
    <w:rsid w:val="00455374"/>
    <w:rsid w:val="0045563F"/>
    <w:rsid w:val="00457EE3"/>
    <w:rsid w:val="00460B6A"/>
    <w:rsid w:val="00465C4E"/>
    <w:rsid w:val="00466A50"/>
    <w:rsid w:val="00480D13"/>
    <w:rsid w:val="004863D6"/>
    <w:rsid w:val="004957D8"/>
    <w:rsid w:val="00496FAD"/>
    <w:rsid w:val="00497655"/>
    <w:rsid w:val="004978EE"/>
    <w:rsid w:val="004A523E"/>
    <w:rsid w:val="004A6744"/>
    <w:rsid w:val="004B1011"/>
    <w:rsid w:val="004B606D"/>
    <w:rsid w:val="004B72E0"/>
    <w:rsid w:val="004B7A4F"/>
    <w:rsid w:val="004C2858"/>
    <w:rsid w:val="004C650B"/>
    <w:rsid w:val="004D0335"/>
    <w:rsid w:val="004E3708"/>
    <w:rsid w:val="004E4759"/>
    <w:rsid w:val="00500F24"/>
    <w:rsid w:val="00501D02"/>
    <w:rsid w:val="0051147C"/>
    <w:rsid w:val="00514413"/>
    <w:rsid w:val="0052093A"/>
    <w:rsid w:val="00525AFB"/>
    <w:rsid w:val="00527406"/>
    <w:rsid w:val="00533688"/>
    <w:rsid w:val="005357DA"/>
    <w:rsid w:val="00536C12"/>
    <w:rsid w:val="00540F09"/>
    <w:rsid w:val="00542916"/>
    <w:rsid w:val="005570D0"/>
    <w:rsid w:val="00563088"/>
    <w:rsid w:val="00565A15"/>
    <w:rsid w:val="0056635E"/>
    <w:rsid w:val="00571085"/>
    <w:rsid w:val="00573510"/>
    <w:rsid w:val="005805A0"/>
    <w:rsid w:val="00584291"/>
    <w:rsid w:val="005900AA"/>
    <w:rsid w:val="00591828"/>
    <w:rsid w:val="00591ABF"/>
    <w:rsid w:val="0059581C"/>
    <w:rsid w:val="005A3628"/>
    <w:rsid w:val="005A7F4D"/>
    <w:rsid w:val="005B1629"/>
    <w:rsid w:val="005B1CB9"/>
    <w:rsid w:val="005B23C6"/>
    <w:rsid w:val="005B367E"/>
    <w:rsid w:val="005B43F3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603BB1"/>
    <w:rsid w:val="00606B8A"/>
    <w:rsid w:val="00610CB4"/>
    <w:rsid w:val="0062315A"/>
    <w:rsid w:val="0062689F"/>
    <w:rsid w:val="0063238D"/>
    <w:rsid w:val="006335A3"/>
    <w:rsid w:val="006337E1"/>
    <w:rsid w:val="00641769"/>
    <w:rsid w:val="0064416E"/>
    <w:rsid w:val="00645021"/>
    <w:rsid w:val="00652ABA"/>
    <w:rsid w:val="00664496"/>
    <w:rsid w:val="0066509E"/>
    <w:rsid w:val="006738D3"/>
    <w:rsid w:val="006774C3"/>
    <w:rsid w:val="0068592F"/>
    <w:rsid w:val="00694CD3"/>
    <w:rsid w:val="00697AA1"/>
    <w:rsid w:val="006A2F61"/>
    <w:rsid w:val="006A6F6A"/>
    <w:rsid w:val="006A6FD1"/>
    <w:rsid w:val="006B5EBF"/>
    <w:rsid w:val="006B6135"/>
    <w:rsid w:val="006E764A"/>
    <w:rsid w:val="006F3544"/>
    <w:rsid w:val="00700520"/>
    <w:rsid w:val="0071148E"/>
    <w:rsid w:val="00716DA7"/>
    <w:rsid w:val="00717BC0"/>
    <w:rsid w:val="00717DAD"/>
    <w:rsid w:val="00720092"/>
    <w:rsid w:val="00723C99"/>
    <w:rsid w:val="007351FE"/>
    <w:rsid w:val="00735463"/>
    <w:rsid w:val="00735FFD"/>
    <w:rsid w:val="00747CEF"/>
    <w:rsid w:val="00760898"/>
    <w:rsid w:val="00760D6E"/>
    <w:rsid w:val="00763082"/>
    <w:rsid w:val="00766257"/>
    <w:rsid w:val="00780714"/>
    <w:rsid w:val="0078109A"/>
    <w:rsid w:val="00781146"/>
    <w:rsid w:val="0078548C"/>
    <w:rsid w:val="00787BD4"/>
    <w:rsid w:val="00794456"/>
    <w:rsid w:val="00794A9A"/>
    <w:rsid w:val="007A07E0"/>
    <w:rsid w:val="007A0944"/>
    <w:rsid w:val="007A71B1"/>
    <w:rsid w:val="007B3F03"/>
    <w:rsid w:val="007B5997"/>
    <w:rsid w:val="007C5B0E"/>
    <w:rsid w:val="007C5CB4"/>
    <w:rsid w:val="007D1578"/>
    <w:rsid w:val="007D1BB2"/>
    <w:rsid w:val="007D36AB"/>
    <w:rsid w:val="007D5F4F"/>
    <w:rsid w:val="007D68D7"/>
    <w:rsid w:val="007E360B"/>
    <w:rsid w:val="007E79AF"/>
    <w:rsid w:val="007F064A"/>
    <w:rsid w:val="007F1EA1"/>
    <w:rsid w:val="007F2E04"/>
    <w:rsid w:val="007F582F"/>
    <w:rsid w:val="00800D9B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8B9"/>
    <w:rsid w:val="00843587"/>
    <w:rsid w:val="00845FB8"/>
    <w:rsid w:val="0084661A"/>
    <w:rsid w:val="00854268"/>
    <w:rsid w:val="0085548E"/>
    <w:rsid w:val="008563D9"/>
    <w:rsid w:val="00857243"/>
    <w:rsid w:val="00857FDF"/>
    <w:rsid w:val="00860322"/>
    <w:rsid w:val="00860E0A"/>
    <w:rsid w:val="00872056"/>
    <w:rsid w:val="0087212D"/>
    <w:rsid w:val="00873207"/>
    <w:rsid w:val="00874F13"/>
    <w:rsid w:val="0087644F"/>
    <w:rsid w:val="0088047F"/>
    <w:rsid w:val="00881A43"/>
    <w:rsid w:val="008837BB"/>
    <w:rsid w:val="00886900"/>
    <w:rsid w:val="008A1C9A"/>
    <w:rsid w:val="008A4DC9"/>
    <w:rsid w:val="008A5139"/>
    <w:rsid w:val="008A66B6"/>
    <w:rsid w:val="008B269E"/>
    <w:rsid w:val="008B2F0B"/>
    <w:rsid w:val="008D5340"/>
    <w:rsid w:val="008E096B"/>
    <w:rsid w:val="008E35DE"/>
    <w:rsid w:val="008E3882"/>
    <w:rsid w:val="008E69B7"/>
    <w:rsid w:val="008E7514"/>
    <w:rsid w:val="008F6DB6"/>
    <w:rsid w:val="00900C93"/>
    <w:rsid w:val="00901A3E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623F"/>
    <w:rsid w:val="009672B8"/>
    <w:rsid w:val="00984C0A"/>
    <w:rsid w:val="00996A2E"/>
    <w:rsid w:val="00997A11"/>
    <w:rsid w:val="00997BF2"/>
    <w:rsid w:val="00997D6B"/>
    <w:rsid w:val="009A4C66"/>
    <w:rsid w:val="009B52EE"/>
    <w:rsid w:val="009B6640"/>
    <w:rsid w:val="009B7096"/>
    <w:rsid w:val="009C3526"/>
    <w:rsid w:val="009C38A8"/>
    <w:rsid w:val="009C4990"/>
    <w:rsid w:val="009C5412"/>
    <w:rsid w:val="009D17EB"/>
    <w:rsid w:val="009D417B"/>
    <w:rsid w:val="009D544F"/>
    <w:rsid w:val="009D5D21"/>
    <w:rsid w:val="009E3884"/>
    <w:rsid w:val="009E5C2C"/>
    <w:rsid w:val="009F4AF0"/>
    <w:rsid w:val="00A02B49"/>
    <w:rsid w:val="00A10F49"/>
    <w:rsid w:val="00A152A5"/>
    <w:rsid w:val="00A1549A"/>
    <w:rsid w:val="00A238AB"/>
    <w:rsid w:val="00A33F04"/>
    <w:rsid w:val="00A35455"/>
    <w:rsid w:val="00A47837"/>
    <w:rsid w:val="00A52B6A"/>
    <w:rsid w:val="00A546B7"/>
    <w:rsid w:val="00A64061"/>
    <w:rsid w:val="00A67B68"/>
    <w:rsid w:val="00A740D1"/>
    <w:rsid w:val="00A74B13"/>
    <w:rsid w:val="00A74C86"/>
    <w:rsid w:val="00A74E31"/>
    <w:rsid w:val="00A7569B"/>
    <w:rsid w:val="00A77164"/>
    <w:rsid w:val="00A80340"/>
    <w:rsid w:val="00A82A26"/>
    <w:rsid w:val="00A82CC5"/>
    <w:rsid w:val="00A87894"/>
    <w:rsid w:val="00A93829"/>
    <w:rsid w:val="00AA3D33"/>
    <w:rsid w:val="00AA5E7F"/>
    <w:rsid w:val="00AB059E"/>
    <w:rsid w:val="00AB2465"/>
    <w:rsid w:val="00AC1AD6"/>
    <w:rsid w:val="00AC1F46"/>
    <w:rsid w:val="00AC21BE"/>
    <w:rsid w:val="00AC5566"/>
    <w:rsid w:val="00AD1AEE"/>
    <w:rsid w:val="00AE4011"/>
    <w:rsid w:val="00AE4E17"/>
    <w:rsid w:val="00AE5AFB"/>
    <w:rsid w:val="00AE7A80"/>
    <w:rsid w:val="00AF0BE6"/>
    <w:rsid w:val="00AF2D33"/>
    <w:rsid w:val="00AF3086"/>
    <w:rsid w:val="00AF3A03"/>
    <w:rsid w:val="00B008A8"/>
    <w:rsid w:val="00B04D74"/>
    <w:rsid w:val="00B06A11"/>
    <w:rsid w:val="00B21BCD"/>
    <w:rsid w:val="00B23BE8"/>
    <w:rsid w:val="00B26124"/>
    <w:rsid w:val="00B264D7"/>
    <w:rsid w:val="00B26B8F"/>
    <w:rsid w:val="00B36F71"/>
    <w:rsid w:val="00B4391A"/>
    <w:rsid w:val="00B44F46"/>
    <w:rsid w:val="00B47485"/>
    <w:rsid w:val="00B5690E"/>
    <w:rsid w:val="00B62F2B"/>
    <w:rsid w:val="00B6445C"/>
    <w:rsid w:val="00B64676"/>
    <w:rsid w:val="00B6718F"/>
    <w:rsid w:val="00B71BA4"/>
    <w:rsid w:val="00B729E8"/>
    <w:rsid w:val="00B72D5B"/>
    <w:rsid w:val="00B74CA0"/>
    <w:rsid w:val="00B81EFA"/>
    <w:rsid w:val="00B83CA2"/>
    <w:rsid w:val="00B913F0"/>
    <w:rsid w:val="00BA20DD"/>
    <w:rsid w:val="00BA2B30"/>
    <w:rsid w:val="00BA2F4F"/>
    <w:rsid w:val="00BA3211"/>
    <w:rsid w:val="00BA6353"/>
    <w:rsid w:val="00BA68DB"/>
    <w:rsid w:val="00BA6FBE"/>
    <w:rsid w:val="00BB1B3A"/>
    <w:rsid w:val="00BC0C60"/>
    <w:rsid w:val="00BD4069"/>
    <w:rsid w:val="00BD51AA"/>
    <w:rsid w:val="00BD5A2B"/>
    <w:rsid w:val="00BD6B65"/>
    <w:rsid w:val="00BE22F9"/>
    <w:rsid w:val="00BF210C"/>
    <w:rsid w:val="00C008AF"/>
    <w:rsid w:val="00C02587"/>
    <w:rsid w:val="00C0359D"/>
    <w:rsid w:val="00C239EB"/>
    <w:rsid w:val="00C26FCD"/>
    <w:rsid w:val="00C32D94"/>
    <w:rsid w:val="00C40060"/>
    <w:rsid w:val="00C429E2"/>
    <w:rsid w:val="00C43C14"/>
    <w:rsid w:val="00C4588E"/>
    <w:rsid w:val="00C5265B"/>
    <w:rsid w:val="00C56E08"/>
    <w:rsid w:val="00C648C0"/>
    <w:rsid w:val="00C72E60"/>
    <w:rsid w:val="00C73140"/>
    <w:rsid w:val="00C800BD"/>
    <w:rsid w:val="00C80718"/>
    <w:rsid w:val="00C830EA"/>
    <w:rsid w:val="00C86FBC"/>
    <w:rsid w:val="00CA0251"/>
    <w:rsid w:val="00CB13FE"/>
    <w:rsid w:val="00CC1B32"/>
    <w:rsid w:val="00CD110A"/>
    <w:rsid w:val="00CD4A76"/>
    <w:rsid w:val="00CE0A93"/>
    <w:rsid w:val="00CE35E6"/>
    <w:rsid w:val="00CE39E4"/>
    <w:rsid w:val="00CF569A"/>
    <w:rsid w:val="00D03B70"/>
    <w:rsid w:val="00D060BA"/>
    <w:rsid w:val="00D063D3"/>
    <w:rsid w:val="00D06D15"/>
    <w:rsid w:val="00D1126A"/>
    <w:rsid w:val="00D12918"/>
    <w:rsid w:val="00D220AA"/>
    <w:rsid w:val="00D2384B"/>
    <w:rsid w:val="00D24858"/>
    <w:rsid w:val="00D263A3"/>
    <w:rsid w:val="00D3213A"/>
    <w:rsid w:val="00D35C01"/>
    <w:rsid w:val="00D505F9"/>
    <w:rsid w:val="00D53C27"/>
    <w:rsid w:val="00D662DB"/>
    <w:rsid w:val="00D75D28"/>
    <w:rsid w:val="00D77734"/>
    <w:rsid w:val="00D80C94"/>
    <w:rsid w:val="00D80EFD"/>
    <w:rsid w:val="00D81125"/>
    <w:rsid w:val="00D82488"/>
    <w:rsid w:val="00D9726B"/>
    <w:rsid w:val="00DA5173"/>
    <w:rsid w:val="00DA6302"/>
    <w:rsid w:val="00DA652D"/>
    <w:rsid w:val="00DA6F44"/>
    <w:rsid w:val="00DB536A"/>
    <w:rsid w:val="00DB67AE"/>
    <w:rsid w:val="00DC0065"/>
    <w:rsid w:val="00DC03BF"/>
    <w:rsid w:val="00DC358A"/>
    <w:rsid w:val="00DC6F7E"/>
    <w:rsid w:val="00DD02F1"/>
    <w:rsid w:val="00DD1C37"/>
    <w:rsid w:val="00DD3FD0"/>
    <w:rsid w:val="00DD689E"/>
    <w:rsid w:val="00DE5219"/>
    <w:rsid w:val="00E00898"/>
    <w:rsid w:val="00E063C4"/>
    <w:rsid w:val="00E06C30"/>
    <w:rsid w:val="00E14D3A"/>
    <w:rsid w:val="00E21FCF"/>
    <w:rsid w:val="00E25D59"/>
    <w:rsid w:val="00E339D9"/>
    <w:rsid w:val="00E36A74"/>
    <w:rsid w:val="00E406A4"/>
    <w:rsid w:val="00E51B89"/>
    <w:rsid w:val="00E540D7"/>
    <w:rsid w:val="00E5423C"/>
    <w:rsid w:val="00E57B6E"/>
    <w:rsid w:val="00E73A80"/>
    <w:rsid w:val="00E878F5"/>
    <w:rsid w:val="00E94D53"/>
    <w:rsid w:val="00E95C5E"/>
    <w:rsid w:val="00E963CF"/>
    <w:rsid w:val="00E96828"/>
    <w:rsid w:val="00EA24AD"/>
    <w:rsid w:val="00EA6379"/>
    <w:rsid w:val="00EA6B52"/>
    <w:rsid w:val="00EB43F4"/>
    <w:rsid w:val="00EC1091"/>
    <w:rsid w:val="00ED2EE3"/>
    <w:rsid w:val="00ED619E"/>
    <w:rsid w:val="00ED7518"/>
    <w:rsid w:val="00ED7F6B"/>
    <w:rsid w:val="00EF3CFF"/>
    <w:rsid w:val="00EF77D1"/>
    <w:rsid w:val="00F02C6D"/>
    <w:rsid w:val="00F031C4"/>
    <w:rsid w:val="00F1008D"/>
    <w:rsid w:val="00F14C7C"/>
    <w:rsid w:val="00F17CB7"/>
    <w:rsid w:val="00F207DE"/>
    <w:rsid w:val="00F21C75"/>
    <w:rsid w:val="00F2440B"/>
    <w:rsid w:val="00F249F4"/>
    <w:rsid w:val="00F254B2"/>
    <w:rsid w:val="00F26807"/>
    <w:rsid w:val="00F33A9E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80588"/>
    <w:rsid w:val="00F814AD"/>
    <w:rsid w:val="00F909FD"/>
    <w:rsid w:val="00FB3571"/>
    <w:rsid w:val="00FB5CF5"/>
    <w:rsid w:val="00FC0B88"/>
    <w:rsid w:val="00FC1C6C"/>
    <w:rsid w:val="00FC34D4"/>
    <w:rsid w:val="00FD4381"/>
    <w:rsid w:val="00FE3186"/>
    <w:rsid w:val="00FE43D6"/>
    <w:rsid w:val="00FE59E1"/>
    <w:rsid w:val="00FE6750"/>
    <w:rsid w:val="00FF02F8"/>
    <w:rsid w:val="00FF1576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A859DEF"/>
  <w15:docId w15:val="{9684838C-79BF-40B5-A7C7-689ECA8E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  <w:style w:type="paragraph" w:styleId="Seznamsodrkami">
    <w:name w:val="List Bullet"/>
    <w:basedOn w:val="Normln"/>
    <w:link w:val="SeznamsodrkamiChar"/>
    <w:rsid w:val="00AE7A80"/>
    <w:pPr>
      <w:numPr>
        <w:numId w:val="4"/>
      </w:numPr>
      <w:jc w:val="left"/>
    </w:pPr>
    <w:rPr>
      <w:szCs w:val="20"/>
    </w:rPr>
  </w:style>
  <w:style w:type="character" w:customStyle="1" w:styleId="SeznamsodrkamiChar">
    <w:name w:val="Seznam s odrážkami Char"/>
    <w:link w:val="Seznamsodrkami"/>
    <w:rsid w:val="00AE7A80"/>
    <w:rPr>
      <w:sz w:val="24"/>
    </w:rPr>
  </w:style>
  <w:style w:type="paragraph" w:customStyle="1" w:styleId="Normal-odstavec">
    <w:name w:val="Normal-odstavec"/>
    <w:basedOn w:val="Normln"/>
    <w:link w:val="Normal-odstavecChar"/>
    <w:rsid w:val="00AE7A80"/>
    <w:pPr>
      <w:spacing w:before="100"/>
      <w:ind w:firstLine="425"/>
    </w:pPr>
    <w:rPr>
      <w:szCs w:val="20"/>
    </w:rPr>
  </w:style>
  <w:style w:type="character" w:customStyle="1" w:styleId="Normal-odstavecChar">
    <w:name w:val="Normal-odstavec Char"/>
    <w:link w:val="Normal-odstavec"/>
    <w:rsid w:val="00AE7A80"/>
    <w:rPr>
      <w:sz w:val="24"/>
    </w:rPr>
  </w:style>
  <w:style w:type="character" w:customStyle="1" w:styleId="datalabel">
    <w:name w:val="datalabel"/>
    <w:basedOn w:val="Standardnpsmoodstavce"/>
    <w:rsid w:val="00735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193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2000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AAEA-0081-49CE-A755-C33B43F7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906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Kolarčíková Eva, Ing.</cp:lastModifiedBy>
  <cp:revision>22</cp:revision>
  <cp:lastPrinted>2017-03-14T11:49:00Z</cp:lastPrinted>
  <dcterms:created xsi:type="dcterms:W3CDTF">2021-05-04T16:25:00Z</dcterms:created>
  <dcterms:modified xsi:type="dcterms:W3CDTF">2021-11-01T14:48:00Z</dcterms:modified>
</cp:coreProperties>
</file>