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7777777"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35033D" w:rsidRPr="0035033D">
        <w:rPr>
          <w:b/>
          <w:sz w:val="28"/>
          <w:szCs w:val="28"/>
        </w:rPr>
        <w:t>XXXXX</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řená podle ust.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r w:rsidR="007E4B42" w:rsidRPr="0035033D">
        <w:rPr>
          <w:rFonts w:ascii="Times New Roman" w:eastAsia="Times New Roman" w:hAnsi="Times New Roman"/>
          <w:color w:val="000000"/>
          <w:sz w:val="24"/>
          <w:szCs w:val="24"/>
          <w:lang w:eastAsia="cs-CZ"/>
        </w:rPr>
        <w:t>Pontassievská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77777777" w:rsidR="007E4B42" w:rsidRPr="0035033D" w:rsidRDefault="00465BDA" w:rsidP="007E4B42">
      <w:pPr>
        <w:pStyle w:val="Normlnweb"/>
        <w:shd w:val="clear" w:color="auto" w:fill="FFFFFF"/>
        <w:rPr>
          <w:b/>
        </w:rPr>
      </w:pPr>
      <w:r w:rsidRPr="0035033D">
        <w:rPr>
          <w:b/>
        </w:rPr>
        <w:t xml:space="preserve">2. </w:t>
      </w:r>
      <w:r w:rsidR="0035033D" w:rsidRPr="0035033D">
        <w:rPr>
          <w:b/>
        </w:rPr>
        <w:t>xxxxxxxxxxxxxxxxxxxxxxxxxxxx</w:t>
      </w:r>
    </w:p>
    <w:p w14:paraId="56E16D8F" w14:textId="77777777" w:rsidR="00465BDA" w:rsidRPr="0035033D" w:rsidRDefault="00465BDA" w:rsidP="007E4B42">
      <w:pPr>
        <w:pStyle w:val="Normlnweb"/>
        <w:shd w:val="clear" w:color="auto" w:fill="FFFFFF"/>
      </w:pPr>
      <w:r w:rsidRPr="0035033D">
        <w:t>IČ:</w:t>
      </w:r>
      <w:r w:rsidR="00953DA3" w:rsidRPr="0035033D">
        <w:t xml:space="preserve"> </w:t>
      </w:r>
      <w:r w:rsidR="0035033D" w:rsidRPr="0035033D">
        <w:t>xxxxxxxxxxxxxxxxxxxx</w:t>
      </w:r>
    </w:p>
    <w:p w14:paraId="2134EB95" w14:textId="77777777" w:rsidR="00347244" w:rsidRPr="0035033D" w:rsidRDefault="00465BDA" w:rsidP="007E4B42">
      <w:pPr>
        <w:pStyle w:val="Normlnweb"/>
        <w:shd w:val="clear" w:color="auto" w:fill="FFFFFF"/>
      </w:pPr>
      <w:r w:rsidRPr="0035033D">
        <w:t>se sídlem</w:t>
      </w:r>
      <w:r w:rsidR="00347244" w:rsidRPr="0035033D">
        <w:t>:</w:t>
      </w:r>
      <w:r w:rsidR="007D6994" w:rsidRPr="0035033D">
        <w:t xml:space="preserve"> </w:t>
      </w:r>
      <w:r w:rsidR="00953DA3" w:rsidRPr="0035033D">
        <w:t xml:space="preserve"> </w:t>
      </w:r>
      <w:r w:rsidR="0035033D" w:rsidRPr="0035033D">
        <w:t>xxxxxxxxxxxxxxxxxxxxxxx</w:t>
      </w:r>
    </w:p>
    <w:p w14:paraId="063E7B70" w14:textId="77777777" w:rsidR="00347244" w:rsidRPr="0035033D" w:rsidRDefault="00465BDA" w:rsidP="007E4B42">
      <w:pPr>
        <w:pStyle w:val="Normlnweb"/>
        <w:shd w:val="clear" w:color="auto" w:fill="FFFFFF"/>
      </w:pPr>
      <w:r w:rsidRPr="0035033D">
        <w:t>zastoupená:</w:t>
      </w:r>
      <w:r w:rsidR="00953DA3" w:rsidRPr="0035033D">
        <w:t xml:space="preserve">  </w:t>
      </w:r>
      <w:r w:rsidR="0035033D" w:rsidRPr="0035033D">
        <w:t>xxxxxxxxxxxxxxxxxxxxxxxxxxxxxxx</w:t>
      </w:r>
    </w:p>
    <w:p w14:paraId="26123608" w14:textId="77777777"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 </w:t>
      </w:r>
      <w:r w:rsidR="0035033D" w:rsidRPr="0035033D">
        <w:t>xxxxxxxxxxxx, spisová značka xxxxxxxxxxxxxxxxxxxxxxx</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77777777"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 xml:space="preserve">Zhotovitel se podpisem této smlouvy zavazuje za podmínek uvedených v této smlouvě provést pro objednatele na svůj náklad a nebezpečí dílo spočívající v „ÚDRŽBA FOTBALOVÝCH HŘIŠŤ – MĚSTSKÝ STADION V HORNÍM PARKU o rozloze </w:t>
      </w:r>
      <w:r w:rsidR="00E46474">
        <w:rPr>
          <w:rFonts w:ascii="Times New Roman" w:hAnsi="Times New Roman" w:cs="Times New Roman"/>
        </w:rPr>
        <w:br/>
      </w:r>
      <w:r w:rsidRPr="0035033D">
        <w:rPr>
          <w:rFonts w:ascii="Times New Roman" w:hAnsi="Times New Roman" w:cs="Times New Roman"/>
        </w:rPr>
        <w:t>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parc. č. 2155/1 – sportoviště a rekreační plocha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 xml:space="preserve">nacházející se na pozemku par. č. 1264/1 – sportoviště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w:t>
      </w:r>
      <w:r w:rsidR="00E46474">
        <w:rPr>
          <w:rFonts w:ascii="Times New Roman" w:hAnsi="Times New Roman" w:cs="Times New Roman"/>
        </w:rPr>
        <w:lastRenderedPageBreak/>
        <w:t>pro katastrální území Mramotice,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77777777"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35033D">
        <w:t>……………..</w:t>
      </w:r>
      <w:r w:rsidR="00F24C28" w:rsidRPr="0035033D">
        <w:t>,- Kč</w:t>
      </w:r>
      <w:r w:rsidRPr="0035033D">
        <w:t xml:space="preserve"> bez DPH</w:t>
      </w:r>
      <w:r w:rsidR="00095403" w:rsidRPr="0035033D">
        <w:t xml:space="preserve">, slovy: </w:t>
      </w:r>
      <w:r w:rsidR="0035033D">
        <w:t>………………………</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Městská plovárna Louka a Koupaliště Mramotice</w:t>
      </w:r>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7777777"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C157CB" w:rsidRPr="0035033D">
        <w:t>nabytím účinnosti Smlouvy</w:t>
      </w:r>
    </w:p>
    <w:p w14:paraId="33BB9FE7" w14:textId="4FBA732C"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w:t>
      </w:r>
      <w:r w:rsidR="00834075">
        <w:t>2</w:t>
      </w:r>
    </w:p>
    <w:p w14:paraId="3FF2252E" w14:textId="63DA4AF7"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834075">
        <w:t>2</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lastRenderedPageBreak/>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r w:rsidR="00095403" w:rsidRPr="0035033D">
        <w:t>30</w:t>
      </w:r>
      <w:r w:rsidR="00C03739" w:rsidRPr="0035033D">
        <w:t>-</w:t>
      </w:r>
      <w:r w:rsidR="00811FE8" w:rsidRPr="0035033D">
        <w:t>ti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lastRenderedPageBreak/>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mlouvy odstoupit a lhůtu k nápravě o délce nejméně 15</w:t>
      </w:r>
      <w:r w:rsidR="003A1E72" w:rsidRPr="0035033D">
        <w:t>-ti</w:t>
      </w:r>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do </w:t>
      </w:r>
      <w:r w:rsidR="00277834" w:rsidRPr="0035033D">
        <w:t>5-ti</w:t>
      </w:r>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Zhotovitel je povinen zahájit bezplatné odstraňování reklamované vady neprodleně a odstranit ji v co nejkratším možném termínu, nejpozději však do 10</w:t>
      </w:r>
      <w:r w:rsidR="00277834" w:rsidRPr="0035033D">
        <w:t>-ti</w:t>
      </w:r>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35033D">
        <w:t>-ti</w:t>
      </w:r>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mlouvě a všech souvisejících dokumentech poskytnutých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r w:rsidRPr="0035033D">
        <w:rPr>
          <w:rFonts w:ascii="Times New Roman" w:eastAsiaTheme="minorHAnsi" w:hAnsi="Times New Roman" w:cs="Times New Roman"/>
          <w:color w:val="000000"/>
          <w:lang w:val="x-none"/>
        </w:rPr>
        <w:t xml:space="preserve">plikované v souvislosti s </w:t>
      </w:r>
      <w:r w:rsidR="008205F6" w:rsidRPr="0035033D">
        <w:rPr>
          <w:rFonts w:ascii="Times New Roman" w:eastAsiaTheme="minorHAnsi" w:hAnsi="Times New Roman" w:cs="Times New Roman"/>
          <w:color w:val="000000"/>
        </w:rPr>
        <w:t>d</w:t>
      </w:r>
      <w:r w:rsidRPr="0035033D">
        <w:rPr>
          <w:rFonts w:ascii="Times New Roman" w:eastAsiaTheme="minorHAnsi" w:hAnsi="Times New Roman" w:cs="Times New Roman"/>
          <w:color w:val="000000"/>
          <w:lang w:val="x-none"/>
        </w:rPr>
        <w:t xml:space="preserve">ílem podle této </w:t>
      </w:r>
      <w:r w:rsidR="00BD0907"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Zhotovitel je povinen zachovávat důvěrnost i po splnění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nebo v případě jiného zániku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mlouvy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2B8C4DC0"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834075">
        <w:rPr>
          <w:rFonts w:ascii="Times New Roman" w:eastAsia="Times New Roman" w:hAnsi="Times New Roman" w:cs="Times New Roman"/>
          <w:lang w:eastAsia="cs-CZ"/>
        </w:rPr>
        <w:t>2</w:t>
      </w:r>
      <w:r w:rsidRPr="00561C64">
        <w:rPr>
          <w:rFonts w:ascii="Times New Roman" w:eastAsia="Times New Roman" w:hAnsi="Times New Roman" w:cs="Times New Roman"/>
          <w:lang w:eastAsia="cs-CZ"/>
        </w:rPr>
        <w:t>.</w:t>
      </w:r>
    </w:p>
    <w:p w14:paraId="56B4E05E" w14:textId="77777777" w:rsidR="003732D8" w:rsidRPr="003732D8" w:rsidRDefault="003732D8" w:rsidP="003732D8">
      <w:pPr>
        <w:pStyle w:val="Odstavecseseznamem"/>
        <w:rPr>
          <w:rFonts w:ascii="Times New Roman" w:eastAsia="Times New Roman" w:hAnsi="Times New Roman" w:cs="Times New Roman"/>
          <w:lang w:eastAsia="cs-CZ"/>
        </w:rPr>
      </w:pPr>
    </w:p>
    <w:p w14:paraId="741054DB" w14:textId="77777777" w:rsidR="003732D8" w:rsidRDefault="003732D8" w:rsidP="003732D8">
      <w:pPr>
        <w:tabs>
          <w:tab w:val="left" w:pos="705"/>
        </w:tabs>
        <w:spacing w:after="0"/>
        <w:jc w:val="both"/>
        <w:rPr>
          <w:rFonts w:ascii="Times New Roman" w:eastAsia="Times New Roman" w:hAnsi="Times New Roman"/>
          <w:lang w:eastAsia="cs-CZ"/>
        </w:rPr>
      </w:pPr>
    </w:p>
    <w:p w14:paraId="3194462D" w14:textId="77777777" w:rsidR="003732D8" w:rsidRDefault="003732D8" w:rsidP="003732D8">
      <w:pPr>
        <w:tabs>
          <w:tab w:val="left" w:pos="705"/>
        </w:tabs>
        <w:spacing w:after="0"/>
        <w:jc w:val="both"/>
        <w:rPr>
          <w:rFonts w:ascii="Times New Roman" w:eastAsia="Times New Roman" w:hAnsi="Times New Roman"/>
          <w:lang w:eastAsia="cs-CZ"/>
        </w:rPr>
      </w:pPr>
    </w:p>
    <w:p w14:paraId="2055067D" w14:textId="77777777" w:rsidR="003732D8" w:rsidRDefault="003732D8" w:rsidP="003732D8">
      <w:pPr>
        <w:tabs>
          <w:tab w:val="left" w:pos="705"/>
        </w:tabs>
        <w:spacing w:after="0"/>
        <w:jc w:val="both"/>
        <w:rPr>
          <w:rFonts w:ascii="Times New Roman" w:eastAsia="Times New Roman" w:hAnsi="Times New Roman"/>
          <w:lang w:eastAsia="cs-CZ"/>
        </w:rPr>
      </w:pPr>
    </w:p>
    <w:p w14:paraId="78E6B097" w14:textId="77777777" w:rsidR="003732D8" w:rsidRDefault="003732D8" w:rsidP="003732D8">
      <w:pPr>
        <w:tabs>
          <w:tab w:val="left" w:pos="705"/>
        </w:tabs>
        <w:spacing w:after="0"/>
        <w:jc w:val="both"/>
        <w:rPr>
          <w:rFonts w:ascii="Times New Roman" w:eastAsia="Times New Roman" w:hAnsi="Times New Roman"/>
          <w:lang w:eastAsia="cs-CZ"/>
        </w:rPr>
      </w:pPr>
    </w:p>
    <w:p w14:paraId="45118020" w14:textId="77777777" w:rsidR="003732D8" w:rsidRDefault="003732D8" w:rsidP="003732D8">
      <w:pPr>
        <w:tabs>
          <w:tab w:val="left" w:pos="705"/>
        </w:tabs>
        <w:spacing w:after="0"/>
        <w:jc w:val="both"/>
        <w:rPr>
          <w:rFonts w:ascii="Times New Roman" w:eastAsia="Times New Roman" w:hAnsi="Times New Roman"/>
          <w:lang w:eastAsia="cs-CZ"/>
        </w:rPr>
      </w:pPr>
    </w:p>
    <w:p w14:paraId="4B6D1B6C" w14:textId="77777777" w:rsidR="003732D8" w:rsidRDefault="003732D8" w:rsidP="003732D8">
      <w:pPr>
        <w:tabs>
          <w:tab w:val="left" w:pos="705"/>
        </w:tabs>
        <w:spacing w:after="0"/>
        <w:jc w:val="both"/>
        <w:rPr>
          <w:rFonts w:ascii="Times New Roman" w:eastAsia="Times New Roman" w:hAnsi="Times New Roman"/>
          <w:lang w:eastAsia="cs-CZ"/>
        </w:rPr>
      </w:pPr>
    </w:p>
    <w:p w14:paraId="33C1E93C" w14:textId="77777777" w:rsidR="003732D8" w:rsidRPr="003732D8" w:rsidRDefault="003732D8" w:rsidP="003732D8">
      <w:pPr>
        <w:tabs>
          <w:tab w:val="left" w:pos="705"/>
        </w:tabs>
        <w:spacing w:after="0"/>
        <w:jc w:val="both"/>
        <w:rPr>
          <w:rFonts w:ascii="Times New Roman" w:eastAsia="Times New Roman" w:hAnsi="Times New Roman"/>
          <w:lang w:eastAsia="cs-CZ"/>
        </w:rPr>
      </w:pP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 xml:space="preserve">V …………… </w:t>
      </w:r>
      <w:r w:rsidR="00555E41" w:rsidRPr="003732D8">
        <w:rPr>
          <w:rFonts w:ascii="Times New Roman" w:hAnsi="Times New Roman"/>
          <w:sz w:val="24"/>
          <w:szCs w:val="24"/>
        </w:rPr>
        <w:t xml:space="preserve">, dne: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p>
    <w:p w14:paraId="2B322A47"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p>
    <w:p w14:paraId="3E8C9FF0" w14:textId="77777777"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35033D" w:rsidRPr="0035033D">
        <w:rPr>
          <w:rFonts w:ascii="Times New Roman" w:hAnsi="Times New Roman" w:cs="Times New Roman"/>
        </w:rPr>
        <w:t xml:space="preserve"> </w:t>
      </w:r>
      <w:hyperlink r:id="rId7"/>
    </w:p>
    <w:p w14:paraId="33E0923B" w14:textId="77777777" w:rsidR="00E2014D" w:rsidRPr="0035033D" w:rsidRDefault="001802F9" w:rsidP="007E4B42">
      <w:pPr>
        <w:pStyle w:val="Normlnweb"/>
        <w:shd w:val="clear" w:color="auto" w:fill="FFFFFF"/>
      </w:pPr>
      <w:r w:rsidRPr="0035033D">
        <w:t>ředitel organizace</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7777777" w:rsidR="00574660" w:rsidRPr="0035033D" w:rsidRDefault="00574660" w:rsidP="007E4B42">
      <w:pPr>
        <w:pStyle w:val="Normlnweb"/>
        <w:shd w:val="clear" w:color="auto" w:fill="FFFFFF"/>
      </w:pPr>
    </w:p>
    <w:sectPr w:rsidR="00574660" w:rsidRPr="0035033D" w:rsidSect="00823E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44E8" w14:textId="77777777" w:rsidR="0090532E" w:rsidRDefault="0090532E" w:rsidP="00B954C0">
      <w:pPr>
        <w:spacing w:after="0" w:line="240" w:lineRule="auto"/>
      </w:pPr>
      <w:r>
        <w:separator/>
      </w:r>
    </w:p>
  </w:endnote>
  <w:endnote w:type="continuationSeparator" w:id="0">
    <w:p w14:paraId="5CE30293" w14:textId="77777777" w:rsidR="0090532E" w:rsidRDefault="0090532E"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12DF" w14:textId="77777777" w:rsidR="0090532E" w:rsidRDefault="0090532E" w:rsidP="00B954C0">
      <w:pPr>
        <w:spacing w:after="0" w:line="240" w:lineRule="auto"/>
      </w:pPr>
      <w:r>
        <w:separator/>
      </w:r>
    </w:p>
  </w:footnote>
  <w:footnote w:type="continuationSeparator" w:id="0">
    <w:p w14:paraId="6B25DDBA" w14:textId="77777777" w:rsidR="0090532E" w:rsidRDefault="0090532E" w:rsidP="00B9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FD6A" w14:textId="77777777" w:rsidR="00725E4E" w:rsidRPr="0035033D" w:rsidRDefault="0035033D" w:rsidP="0035033D">
    <w:pPr>
      <w:pStyle w:val="Zhlav"/>
      <w:jc w:val="right"/>
      <w:rPr>
        <w:rFonts w:ascii="Times New Roman" w:hAnsi="Times New Roman"/>
        <w:sz w:val="24"/>
        <w:szCs w:val="24"/>
      </w:rPr>
    </w:pPr>
    <w:r>
      <w:rPr>
        <w:rFonts w:ascii="Times New Roman" w:hAnsi="Times New Roman"/>
        <w:sz w:val="24"/>
        <w:szCs w:val="24"/>
      </w:rPr>
      <w:t>Vzor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7F2D"/>
    <w:rsid w:val="00035E45"/>
    <w:rsid w:val="00061D8A"/>
    <w:rsid w:val="00081D94"/>
    <w:rsid w:val="00095403"/>
    <w:rsid w:val="000D784B"/>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B0708"/>
    <w:rsid w:val="005C16B5"/>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34075"/>
    <w:rsid w:val="00866E2F"/>
    <w:rsid w:val="008A027B"/>
    <w:rsid w:val="008A2DDE"/>
    <w:rsid w:val="008B5EEC"/>
    <w:rsid w:val="008C5248"/>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15:docId w15:val="{8354CAA8-F514-4251-8E54-B8903D0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12040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cp:revision>
  <cp:lastPrinted>2020-04-23T07:40:00Z</cp:lastPrinted>
  <dcterms:created xsi:type="dcterms:W3CDTF">2021-01-29T07:45:00Z</dcterms:created>
  <dcterms:modified xsi:type="dcterms:W3CDTF">2021-11-18T09:18:00Z</dcterms:modified>
</cp:coreProperties>
</file>