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47685853"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Digitalizace II</w:t>
      </w:r>
      <w:r w:rsidR="003D0B96">
        <w:rPr>
          <w:rFonts w:ascii="Segoe UI" w:eastAsia="Segoe UI" w:hAnsi="Segoe UI" w:cs="Segoe UI"/>
          <w:sz w:val="22"/>
          <w:szCs w:val="22"/>
        </w:rPr>
        <w:t>.</w:t>
      </w:r>
      <w:r w:rsidR="00D11C48" w:rsidRPr="00D11C48">
        <w:rPr>
          <w:rFonts w:ascii="Segoe UI" w:eastAsia="Segoe UI" w:hAnsi="Segoe UI" w:cs="Segoe UI"/>
          <w:sz w:val="22"/>
          <w:szCs w:val="22"/>
        </w:rPr>
        <w:t xml:space="preserve"> – část 1.: Objednávky</w:t>
      </w:r>
      <w:r w:rsidR="007F0C41">
        <w:rPr>
          <w:rFonts w:ascii="Segoe UI" w:eastAsia="Segoe UI" w:hAnsi="Segoe UI" w:cs="Segoe UI"/>
          <w:sz w:val="22"/>
          <w:szCs w:val="22"/>
        </w:rPr>
        <w:t>.</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2FFEA2C5" w14:textId="77777777" w:rsidR="00082012" w:rsidRDefault="00082012">
      <w:pPr>
        <w:rPr>
          <w:rFonts w:ascii="Segoe UI" w:eastAsia="Segoe UI" w:hAnsi="Segoe UI" w:cs="Segoe UI"/>
          <w:sz w:val="22"/>
          <w:szCs w:val="22"/>
        </w:rPr>
      </w:pPr>
      <w:r>
        <w:rPr>
          <w:rFonts w:ascii="Segoe UI" w:eastAsia="Segoe UI" w:hAnsi="Segoe UI" w:cs="Segoe UI"/>
          <w:sz w:val="22"/>
          <w:szCs w:val="22"/>
        </w:rPr>
        <w:br w:type="page"/>
      </w:r>
    </w:p>
    <w:p w14:paraId="404400B7" w14:textId="77777777" w:rsidR="008E3DD6" w:rsidRDefault="008E3DD6" w:rsidP="008E3DD6">
      <w:pPr>
        <w:jc w:val="center"/>
        <w:rPr>
          <w:rFonts w:ascii="Segoe UI" w:eastAsia="Segoe UI" w:hAnsi="Segoe UI" w:cs="Segoe UI"/>
          <w:b/>
          <w:bCs/>
          <w:sz w:val="22"/>
          <w:szCs w:val="22"/>
        </w:rPr>
      </w:pPr>
      <w:r>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w:t>
      </w:r>
      <w:bookmarkStart w:id="0" w:name="_GoBack"/>
      <w:bookmarkEnd w:id="0"/>
      <w:r w:rsidRPr="005C7B32">
        <w:rPr>
          <w:rFonts w:ascii="Segoe UI" w:eastAsia="Segoe UI" w:hAnsi="Segoe UI" w:cs="Segoe UI"/>
          <w:sz w:val="22"/>
          <w:szCs w:val="22"/>
        </w:rPr>
        <w:t>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r w:rsidRPr="00100550">
        <w:rPr>
          <w:rFonts w:ascii="Segoe UI" w:eastAsia="Segoe UI" w:hAnsi="Segoe UI" w:cs="Segoe UI"/>
          <w:sz w:val="22"/>
          <w:szCs w:val="22"/>
        </w:rPr>
        <w:t xml:space="preserve">výši </w:t>
      </w:r>
      <w:r w:rsidR="008C6DCF" w:rsidRPr="00100550">
        <w:rPr>
          <w:rFonts w:ascii="Segoe UI" w:eastAsia="Segoe UI" w:hAnsi="Segoe UI" w:cs="Segoe UI"/>
          <w:sz w:val="22"/>
          <w:szCs w:val="22"/>
        </w:rPr>
        <w:t>100.000, -</w:t>
      </w:r>
      <w:r>
        <w:rPr>
          <w:rFonts w:ascii="Segoe UI" w:eastAsia="Segoe UI" w:hAnsi="Segoe UI" w:cs="Segoe UI"/>
          <w:sz w:val="22"/>
          <w:szCs w:val="22"/>
        </w:rPr>
        <w:t xml:space="preserve"> Kč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09141" w14:textId="77777777" w:rsidR="00EF4AFC" w:rsidRDefault="00EF4AFC">
      <w:r>
        <w:separator/>
      </w:r>
    </w:p>
  </w:endnote>
  <w:endnote w:type="continuationSeparator" w:id="0">
    <w:p w14:paraId="0F644D44" w14:textId="77777777" w:rsidR="00EF4AFC" w:rsidRDefault="00EF4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185EA8F6"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100550">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5726C" w14:textId="77777777" w:rsidR="00EF4AFC" w:rsidRDefault="00EF4AFC">
      <w:r>
        <w:separator/>
      </w:r>
    </w:p>
  </w:footnote>
  <w:footnote w:type="continuationSeparator" w:id="0">
    <w:p w14:paraId="7E54676A" w14:textId="77777777" w:rsidR="00EF4AFC" w:rsidRDefault="00EF4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92E01" w14:textId="0246A484" w:rsidR="001F1E28" w:rsidRPr="001F1E28" w:rsidRDefault="001F1E28">
    <w:pPr>
      <w:pStyle w:val="Zhlav"/>
      <w:rPr>
        <w:i/>
        <w:sz w:val="22"/>
        <w:szCs w:val="22"/>
      </w:rPr>
    </w:pPr>
    <w:r w:rsidRPr="001F1E28">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375AE33A">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375AE33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396C230">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A23EA4">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63AC384">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4C40A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AAB8AC">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1B694B4">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752DB3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48E979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00550"/>
    <w:rsid w:val="001555F3"/>
    <w:rsid w:val="00167293"/>
    <w:rsid w:val="00192081"/>
    <w:rsid w:val="001F1E28"/>
    <w:rsid w:val="00310018"/>
    <w:rsid w:val="00347CFC"/>
    <w:rsid w:val="003A28FF"/>
    <w:rsid w:val="003C7012"/>
    <w:rsid w:val="003D0B96"/>
    <w:rsid w:val="003E7449"/>
    <w:rsid w:val="00454628"/>
    <w:rsid w:val="00464F4F"/>
    <w:rsid w:val="004D1987"/>
    <w:rsid w:val="004E29F8"/>
    <w:rsid w:val="00546BAC"/>
    <w:rsid w:val="005B1F11"/>
    <w:rsid w:val="005C7B32"/>
    <w:rsid w:val="0062553F"/>
    <w:rsid w:val="00644B3A"/>
    <w:rsid w:val="00695589"/>
    <w:rsid w:val="00710A21"/>
    <w:rsid w:val="007D6A38"/>
    <w:rsid w:val="007F0C41"/>
    <w:rsid w:val="00822553"/>
    <w:rsid w:val="008C6DCF"/>
    <w:rsid w:val="008E3DD6"/>
    <w:rsid w:val="00931548"/>
    <w:rsid w:val="00932822"/>
    <w:rsid w:val="009360B7"/>
    <w:rsid w:val="0096793D"/>
    <w:rsid w:val="009917E4"/>
    <w:rsid w:val="009971B9"/>
    <w:rsid w:val="00A3564E"/>
    <w:rsid w:val="00AF52D4"/>
    <w:rsid w:val="00AF79B3"/>
    <w:rsid w:val="00B021E5"/>
    <w:rsid w:val="00B37D7E"/>
    <w:rsid w:val="00BD342A"/>
    <w:rsid w:val="00C15D54"/>
    <w:rsid w:val="00C50CDD"/>
    <w:rsid w:val="00C97EC6"/>
    <w:rsid w:val="00CA58D3"/>
    <w:rsid w:val="00CB49C7"/>
    <w:rsid w:val="00D11C48"/>
    <w:rsid w:val="00DC4A8D"/>
    <w:rsid w:val="00E501DF"/>
    <w:rsid w:val="00EB5849"/>
    <w:rsid w:val="00EF4AFC"/>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1F1E28"/>
    <w:pPr>
      <w:tabs>
        <w:tab w:val="center" w:pos="4536"/>
        <w:tab w:val="right" w:pos="9072"/>
      </w:tabs>
    </w:pPr>
  </w:style>
  <w:style w:type="character" w:customStyle="1" w:styleId="ZhlavChar">
    <w:name w:val="Záhlaví Char"/>
    <w:basedOn w:val="Standardnpsmoodstavce"/>
    <w:link w:val="Zhlav"/>
    <w:uiPriority w:val="99"/>
    <w:rsid w:val="001F1E28"/>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1223</Words>
  <Characters>7219</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5</cp:revision>
  <dcterms:created xsi:type="dcterms:W3CDTF">2021-12-03T06:30:00Z</dcterms:created>
  <dcterms:modified xsi:type="dcterms:W3CDTF">2021-12-07T08:05:00Z</dcterms:modified>
</cp:coreProperties>
</file>