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CB0D97F" w:rsidR="009977D6" w:rsidRDefault="009977D6" w:rsidP="003A7E47">
      <w:pPr>
        <w:jc w:val="center"/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>Závazný návrh</w:t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34D762E1" w14:textId="3F44FB5C" w:rsidR="007C4A4C" w:rsidRPr="00C474C1" w:rsidRDefault="00FD16BD" w:rsidP="007C4A4C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7C4A4C" w:rsidRPr="00D965ED">
        <w:rPr>
          <w:snapToGrid w:val="0"/>
          <w:sz w:val="24"/>
          <w:szCs w:val="24"/>
        </w:rPr>
        <w:t>zastoupen</w:t>
      </w:r>
      <w:r w:rsidR="007C4A4C">
        <w:rPr>
          <w:snapToGrid w:val="0"/>
          <w:sz w:val="24"/>
          <w:szCs w:val="24"/>
        </w:rPr>
        <w:t xml:space="preserve">: </w:t>
      </w:r>
      <w:r w:rsidR="007C4A4C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4B39F371" w:rsidR="00800DC5" w:rsidRPr="00DD3F75" w:rsidRDefault="007C4A4C" w:rsidP="007C4A4C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3F2024B6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4F2D2F03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378B7ABD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</w:t>
      </w:r>
      <w:r w:rsidRPr="00DC37C3">
        <w:rPr>
          <w:sz w:val="24"/>
          <w:szCs w:val="24"/>
        </w:rPr>
        <w:t>spolehlivostí 99,9</w:t>
      </w:r>
      <w:r w:rsidRPr="00FC711A">
        <w:rPr>
          <w:sz w:val="24"/>
          <w:szCs w:val="24"/>
        </w:rPr>
        <w:t xml:space="preserve"> % /</w:t>
      </w:r>
      <w:r>
        <w:rPr>
          <w:sz w:val="24"/>
          <w:szCs w:val="24"/>
        </w:rPr>
        <w:t xml:space="preserve"> </w:t>
      </w:r>
      <w:r w:rsidRPr="00FC711A">
        <w:rPr>
          <w:sz w:val="24"/>
          <w:szCs w:val="24"/>
        </w:rPr>
        <w:t xml:space="preserve">ročně max. výpadek </w:t>
      </w:r>
      <w:r w:rsidRPr="00DC37C3">
        <w:rPr>
          <w:sz w:val="24"/>
          <w:szCs w:val="24"/>
        </w:rPr>
        <w:t xml:space="preserve">celkem 43 </w:t>
      </w:r>
      <w:r w:rsidR="00A42FF8" w:rsidRPr="00DC37C3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7CF074C1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5BF917AA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</w:t>
      </w:r>
      <w:r>
        <w:rPr>
          <w:sz w:val="24"/>
          <w:szCs w:val="24"/>
        </w:rPr>
        <w:br/>
      </w:r>
      <w:r w:rsidRPr="00B439F6">
        <w:rPr>
          <w:sz w:val="24"/>
          <w:szCs w:val="24"/>
        </w:rPr>
        <w:t xml:space="preserve">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</w:t>
      </w:r>
      <w:r w:rsidRPr="00B439F6">
        <w:rPr>
          <w:sz w:val="24"/>
          <w:szCs w:val="24"/>
        </w:rPr>
        <w:lastRenderedPageBreak/>
        <w:t xml:space="preserve">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7E0DCEAA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72BE3DE6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14900331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11C1A650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24E0939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 xml:space="preserve">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7D9E58AE" w14:textId="77777777" w:rsidR="003944C1" w:rsidRPr="009A66B5" w:rsidRDefault="003944C1" w:rsidP="003944C1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48 hodin od termínu, kdy byl Poskytovatel povinen zahájit opravu,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jinak;</w:t>
      </w:r>
    </w:p>
    <w:p w14:paraId="3EBD008D" w14:textId="77777777" w:rsidR="003944C1" w:rsidRPr="009A66B5" w:rsidRDefault="003944C1" w:rsidP="003944C1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2CE4C005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5EA75010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5B8F8C32" w14:textId="77777777" w:rsidR="003944C1" w:rsidRPr="0060509F" w:rsidRDefault="003944C1" w:rsidP="003944C1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2D022F82" w14:textId="3D8E07C7" w:rsidR="003944C1" w:rsidRPr="0060509F" w:rsidRDefault="003944C1" w:rsidP="003944C1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>
        <w:rPr>
          <w:color w:val="000000"/>
          <w:sz w:val="24"/>
          <w:szCs w:val="24"/>
        </w:rPr>
        <w:t xml:space="preserve"> </w:t>
      </w:r>
      <w:r w:rsidRPr="008F6AF6">
        <w:rPr>
          <w:sz w:val="24"/>
          <w:szCs w:val="24"/>
          <w:highlight w:val="cyan"/>
        </w:rPr>
        <w:t>[</w:t>
      </w:r>
      <w:r w:rsidRPr="008F6AF6">
        <w:rPr>
          <w:i/>
          <w:iCs/>
          <w:sz w:val="24"/>
          <w:szCs w:val="24"/>
          <w:highlight w:val="cyan"/>
        </w:rPr>
        <w:t>pozn.:</w:t>
      </w:r>
      <w:r w:rsidRPr="008F6AF6">
        <w:rPr>
          <w:sz w:val="24"/>
          <w:szCs w:val="24"/>
          <w:highlight w:val="cyan"/>
        </w:rPr>
        <w:t xml:space="preserve"> </w:t>
      </w:r>
      <w:r w:rsidRPr="009C4BB0">
        <w:rPr>
          <w:i/>
          <w:iCs/>
          <w:sz w:val="24"/>
          <w:szCs w:val="24"/>
          <w:highlight w:val="cyan"/>
        </w:rPr>
        <w:t>Cenu</w:t>
      </w:r>
      <w:r>
        <w:rPr>
          <w:i/>
          <w:iCs/>
          <w:sz w:val="24"/>
          <w:szCs w:val="24"/>
          <w:highlight w:val="cyan"/>
        </w:rPr>
        <w:t xml:space="preserve"> Poskytovatel</w:t>
      </w:r>
      <w:r w:rsidRPr="008F6AF6">
        <w:rPr>
          <w:i/>
          <w:iCs/>
          <w:sz w:val="24"/>
          <w:szCs w:val="24"/>
          <w:highlight w:val="cyan"/>
        </w:rPr>
        <w:t xml:space="preserve"> </w:t>
      </w:r>
      <w:r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Pr="008F6AF6">
        <w:rPr>
          <w:i/>
          <w:iCs/>
          <w:sz w:val="24"/>
          <w:szCs w:val="24"/>
          <w:highlight w:val="cyan"/>
        </w:rPr>
        <w:t>vypl</w:t>
      </w:r>
      <w:r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47E563CB" w14:textId="77777777" w:rsidR="003944C1" w:rsidRPr="0060509F" w:rsidRDefault="003944C1" w:rsidP="003944C1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</w:t>
      </w:r>
      <w:r w:rsidRPr="00DC37C3">
        <w:rPr>
          <w:color w:val="000000"/>
          <w:sz w:val="24"/>
          <w:szCs w:val="24"/>
        </w:rPr>
        <w:t>zahrnuje 10 odpracovaných</w:t>
      </w:r>
      <w:r w:rsidRPr="0060509F">
        <w:rPr>
          <w:color w:val="000000"/>
          <w:sz w:val="24"/>
          <w:szCs w:val="24"/>
        </w:rPr>
        <w:t xml:space="preserve"> člověkohodi</w:t>
      </w:r>
      <w:r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46324D38" w14:textId="0CCD21EE" w:rsidR="003944C1" w:rsidRDefault="003944C1" w:rsidP="003944C1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>
        <w:rPr>
          <w:color w:val="000000"/>
          <w:sz w:val="24"/>
          <w:szCs w:val="24"/>
        </w:rPr>
        <w:t xml:space="preserve"> </w:t>
      </w:r>
      <w:r w:rsidRPr="008F6AF6">
        <w:rPr>
          <w:sz w:val="24"/>
          <w:szCs w:val="24"/>
          <w:highlight w:val="cyan"/>
        </w:rPr>
        <w:t>[</w:t>
      </w:r>
      <w:r w:rsidRPr="008F6AF6">
        <w:rPr>
          <w:i/>
          <w:iCs/>
          <w:sz w:val="24"/>
          <w:szCs w:val="24"/>
          <w:highlight w:val="cyan"/>
        </w:rPr>
        <w:t>pozn.:</w:t>
      </w:r>
      <w:r w:rsidRPr="008F6AF6">
        <w:rPr>
          <w:sz w:val="24"/>
          <w:szCs w:val="24"/>
          <w:highlight w:val="cyan"/>
        </w:rPr>
        <w:t xml:space="preserve"> </w:t>
      </w:r>
      <w:r w:rsidRPr="0055776D">
        <w:rPr>
          <w:i/>
          <w:iCs/>
          <w:sz w:val="24"/>
          <w:szCs w:val="24"/>
          <w:highlight w:val="cyan"/>
        </w:rPr>
        <w:t>Cenu</w:t>
      </w:r>
      <w:r>
        <w:rPr>
          <w:i/>
          <w:iCs/>
          <w:sz w:val="24"/>
          <w:szCs w:val="24"/>
          <w:highlight w:val="cyan"/>
        </w:rPr>
        <w:t xml:space="preserve"> Poskytovatel</w:t>
      </w:r>
      <w:r w:rsidRPr="008F6AF6">
        <w:rPr>
          <w:i/>
          <w:iCs/>
          <w:sz w:val="24"/>
          <w:szCs w:val="24"/>
          <w:highlight w:val="cyan"/>
        </w:rPr>
        <w:t xml:space="preserve"> </w:t>
      </w:r>
      <w:r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Pr="008F6AF6">
        <w:rPr>
          <w:i/>
          <w:iCs/>
          <w:sz w:val="24"/>
          <w:szCs w:val="24"/>
          <w:highlight w:val="cyan"/>
        </w:rPr>
        <w:t>vypl</w:t>
      </w:r>
      <w:r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 xml:space="preserve">přesáhne-li součet meziroční míry inflace vyjádřené přírůstkem průměrného ročního </w:t>
      </w:r>
      <w:bookmarkStart w:id="9" w:name="_GoBack"/>
      <w:bookmarkEnd w:id="9"/>
      <w:r w:rsidRPr="00705F48">
        <w:rPr>
          <w:color w:val="000000"/>
          <w:sz w:val="24"/>
          <w:szCs w:val="24"/>
        </w:rPr>
        <w:t>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7BD4243D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4725790B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CBA87C" w16cid:durableId="24E05F24"/>
  <w16cid:commentId w16cid:paraId="12C93B75" w16cid:durableId="253732F7"/>
  <w16cid:commentId w16cid:paraId="484D278B" w16cid:durableId="253732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FDB6A" w14:textId="77777777" w:rsidR="00301EA0" w:rsidRDefault="00301EA0" w:rsidP="003944C1">
      <w:r>
        <w:separator/>
      </w:r>
    </w:p>
  </w:endnote>
  <w:endnote w:type="continuationSeparator" w:id="0">
    <w:p w14:paraId="5D08353A" w14:textId="77777777" w:rsidR="00301EA0" w:rsidRDefault="00301EA0" w:rsidP="0039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6D26C" w14:textId="77777777" w:rsidR="00301EA0" w:rsidRDefault="00301EA0" w:rsidP="003944C1">
      <w:r>
        <w:separator/>
      </w:r>
    </w:p>
  </w:footnote>
  <w:footnote w:type="continuationSeparator" w:id="0">
    <w:p w14:paraId="4CA33502" w14:textId="77777777" w:rsidR="00301EA0" w:rsidRDefault="00301EA0" w:rsidP="0039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A41B4" w14:textId="60F6A61A" w:rsidR="00804EBB" w:rsidRPr="00804EBB" w:rsidRDefault="00804EBB" w:rsidP="00804EBB">
    <w:pPr>
      <w:pStyle w:val="Zhlav"/>
      <w:jc w:val="left"/>
      <w:rPr>
        <w:rFonts w:ascii="Times New Roman" w:hAnsi="Times New Roman" w:cs="Times New Roman"/>
        <w:i/>
      </w:rPr>
    </w:pPr>
    <w:r w:rsidRPr="00804EBB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F64A251C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0088E0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223FB"/>
    <w:rsid w:val="000324EA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32ED"/>
    <w:rsid w:val="000B58CA"/>
    <w:rsid w:val="000B7AB0"/>
    <w:rsid w:val="000D2A2C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1EA0"/>
    <w:rsid w:val="00306BB7"/>
    <w:rsid w:val="00314197"/>
    <w:rsid w:val="00322973"/>
    <w:rsid w:val="0032321B"/>
    <w:rsid w:val="0032540B"/>
    <w:rsid w:val="003273F4"/>
    <w:rsid w:val="00351CC4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44C1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5966"/>
    <w:rsid w:val="003F152D"/>
    <w:rsid w:val="004042C6"/>
    <w:rsid w:val="00433549"/>
    <w:rsid w:val="0043411C"/>
    <w:rsid w:val="00434768"/>
    <w:rsid w:val="00443A25"/>
    <w:rsid w:val="004468BD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6414F"/>
    <w:rsid w:val="00665D8C"/>
    <w:rsid w:val="00670461"/>
    <w:rsid w:val="00670677"/>
    <w:rsid w:val="00671794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C4F3A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7520D"/>
    <w:rsid w:val="0078056A"/>
    <w:rsid w:val="00792019"/>
    <w:rsid w:val="00793532"/>
    <w:rsid w:val="007A5866"/>
    <w:rsid w:val="007B1254"/>
    <w:rsid w:val="007B37D3"/>
    <w:rsid w:val="007C2BD1"/>
    <w:rsid w:val="007C39F7"/>
    <w:rsid w:val="007C4A4C"/>
    <w:rsid w:val="007D4659"/>
    <w:rsid w:val="007E3D1A"/>
    <w:rsid w:val="007F6AAC"/>
    <w:rsid w:val="00800DC5"/>
    <w:rsid w:val="00804EBB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3EF2"/>
    <w:rsid w:val="00950C12"/>
    <w:rsid w:val="00960D34"/>
    <w:rsid w:val="00962232"/>
    <w:rsid w:val="009625EC"/>
    <w:rsid w:val="009977D6"/>
    <w:rsid w:val="009A0CA5"/>
    <w:rsid w:val="009A66B5"/>
    <w:rsid w:val="009B43A6"/>
    <w:rsid w:val="009C0575"/>
    <w:rsid w:val="009C3906"/>
    <w:rsid w:val="009C4BB0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A2BA2"/>
    <w:rsid w:val="00BA4500"/>
    <w:rsid w:val="00BA46A7"/>
    <w:rsid w:val="00BA5DD9"/>
    <w:rsid w:val="00BC04E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937A1"/>
    <w:rsid w:val="00D965ED"/>
    <w:rsid w:val="00DA0B7B"/>
    <w:rsid w:val="00DA2A4C"/>
    <w:rsid w:val="00DC0487"/>
    <w:rsid w:val="00DC37C3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12651"/>
    <w:rsid w:val="00E25AC3"/>
    <w:rsid w:val="00E30B1F"/>
    <w:rsid w:val="00E40B26"/>
    <w:rsid w:val="00E70984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E3DE0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9E5C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944C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4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0EBD-E1D0-482D-BC88-5AB08330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2826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19636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2021-12-03T07:07:00Z</dcterms:created>
  <dcterms:modified xsi:type="dcterms:W3CDTF">2021-12-07T08:27:00Z</dcterms:modified>
</cp:coreProperties>
</file>