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217C32D6" w:rsidR="006D7281"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A77A13">
        <w:rPr>
          <w:b w:val="0"/>
          <w:bCs w:val="0"/>
          <w:sz w:val="22"/>
          <w:szCs w:val="22"/>
        </w:rPr>
        <w:t>objednatele:</w:t>
      </w:r>
      <w:r w:rsidR="006D41EC" w:rsidRPr="00A77A13">
        <w:rPr>
          <w:b w:val="0"/>
          <w:bCs w:val="0"/>
          <w:sz w:val="22"/>
          <w:szCs w:val="22"/>
        </w:rPr>
        <w:t xml:space="preserve"> </w:t>
      </w:r>
      <w:r w:rsidR="00115736" w:rsidRPr="00A77A13">
        <w:rPr>
          <w:b w:val="0"/>
          <w:bCs w:val="0"/>
          <w:sz w:val="22"/>
          <w:szCs w:val="22"/>
        </w:rPr>
        <w:t>21</w:t>
      </w:r>
      <w:r w:rsidR="006D41EC" w:rsidRPr="00A77A13">
        <w:rPr>
          <w:b w:val="0"/>
          <w:bCs w:val="0"/>
          <w:sz w:val="22"/>
          <w:szCs w:val="22"/>
        </w:rPr>
        <w:t>/</w:t>
      </w:r>
      <w:r w:rsidR="00A77A13" w:rsidRPr="00A77A13">
        <w:rPr>
          <w:b w:val="0"/>
          <w:bCs w:val="0"/>
          <w:sz w:val="22"/>
          <w:szCs w:val="22"/>
        </w:rPr>
        <w:t>884</w:t>
      </w:r>
      <w:r w:rsidR="006D41EC" w:rsidRPr="00A77A13">
        <w:rPr>
          <w:b w:val="0"/>
          <w:bCs w:val="0"/>
          <w:sz w:val="22"/>
          <w:szCs w:val="22"/>
        </w:rPr>
        <w:t>/50</w:t>
      </w:r>
      <w:r w:rsidR="006D7281" w:rsidRPr="00A77A13">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4976CF"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77777777"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0E524AB6" w:rsidR="00083D24" w:rsidRDefault="00094224" w:rsidP="00CD7090">
      <w:pPr>
        <w:spacing w:before="120" w:line="276" w:lineRule="auto"/>
        <w:contextualSpacing/>
        <w:rPr>
          <w:iCs/>
          <w:sz w:val="22"/>
          <w:szCs w:val="22"/>
        </w:rPr>
      </w:pPr>
      <w:r w:rsidRPr="001C7910">
        <w:rPr>
          <w:iCs/>
          <w:sz w:val="22"/>
          <w:szCs w:val="22"/>
        </w:rPr>
        <w:t>Kontaktní osoba ve věcech smluvních:</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r w:rsidR="00115736">
        <w:rPr>
          <w:iCs/>
          <w:sz w:val="22"/>
          <w:szCs w:val="22"/>
        </w:rPr>
        <w:t>technicko-provozní ředitel</w:t>
      </w:r>
    </w:p>
    <w:p w14:paraId="78E6B924" w14:textId="38131F28" w:rsidR="0001715A"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8" w:history="1">
        <w:r w:rsidRPr="009C2EC6">
          <w:rPr>
            <w:rStyle w:val="Hypertextovodkaz"/>
            <w:sz w:val="22"/>
            <w:szCs w:val="22"/>
          </w:rPr>
          <w:t>vzurek@dpmb.cz</w:t>
        </w:r>
      </w:hyperlink>
    </w:p>
    <w:p w14:paraId="021526C2" w14:textId="7BB40FE9" w:rsidR="00491BB0" w:rsidRPr="00491BB0" w:rsidRDefault="00491BB0" w:rsidP="00491BB0">
      <w:pPr>
        <w:spacing w:before="120" w:line="276" w:lineRule="auto"/>
        <w:contextualSpacing/>
        <w:rPr>
          <w:rStyle w:val="Hypertextovodkaz"/>
          <w:iCs/>
          <w:color w:val="auto"/>
          <w:sz w:val="22"/>
          <w:szCs w:val="22"/>
          <w:u w:val="none"/>
        </w:rPr>
      </w:pPr>
      <w:r>
        <w:rPr>
          <w:rStyle w:val="Hypertextovodkaz"/>
          <w:iCs/>
          <w:color w:val="auto"/>
          <w:sz w:val="22"/>
          <w:szCs w:val="22"/>
          <w:u w:val="none"/>
        </w:rPr>
        <w:tab/>
      </w:r>
      <w:r>
        <w:rPr>
          <w:rStyle w:val="Hypertextovodkaz"/>
          <w:iCs/>
          <w:color w:val="auto"/>
          <w:sz w:val="22"/>
          <w:szCs w:val="22"/>
          <w:u w:val="none"/>
        </w:rPr>
        <w:tab/>
      </w:r>
      <w:r>
        <w:rPr>
          <w:rStyle w:val="Hypertextovodkaz"/>
          <w:iCs/>
          <w:color w:val="auto"/>
          <w:sz w:val="22"/>
          <w:szCs w:val="22"/>
          <w:u w:val="none"/>
        </w:rPr>
        <w:tab/>
      </w:r>
      <w:r w:rsidRPr="00491BB0">
        <w:rPr>
          <w:rStyle w:val="Hypertextovodkaz"/>
          <w:iCs/>
          <w:color w:val="auto"/>
          <w:sz w:val="22"/>
          <w:szCs w:val="22"/>
          <w:u w:val="none"/>
        </w:rPr>
        <w:t>Ing. Zdeněk Jarolín, zástupce TPŘ technika</w:t>
      </w:r>
    </w:p>
    <w:p w14:paraId="007C918F" w14:textId="554F637C" w:rsidR="00491BB0" w:rsidRPr="0017371E" w:rsidRDefault="00491BB0" w:rsidP="00491BB0">
      <w:pPr>
        <w:spacing w:before="120" w:line="276" w:lineRule="auto"/>
        <w:contextualSpacing/>
        <w:rPr>
          <w:rStyle w:val="Hypertextovodkaz"/>
          <w:iCs/>
          <w:sz w:val="22"/>
          <w:szCs w:val="22"/>
        </w:rPr>
      </w:pPr>
      <w:r w:rsidRPr="00491BB0">
        <w:rPr>
          <w:rStyle w:val="Hypertextovodkaz"/>
          <w:iCs/>
          <w:color w:val="auto"/>
          <w:sz w:val="22"/>
          <w:szCs w:val="22"/>
          <w:u w:val="none"/>
        </w:rPr>
        <w:tab/>
      </w:r>
      <w:r w:rsidRPr="00491BB0">
        <w:rPr>
          <w:rStyle w:val="Hypertextovodkaz"/>
          <w:iCs/>
          <w:color w:val="auto"/>
          <w:sz w:val="22"/>
          <w:szCs w:val="22"/>
          <w:u w:val="none"/>
        </w:rPr>
        <w:tab/>
      </w:r>
      <w:r w:rsidRPr="00491BB0">
        <w:rPr>
          <w:rStyle w:val="Hypertextovodkaz"/>
          <w:iCs/>
          <w:color w:val="auto"/>
          <w:sz w:val="22"/>
          <w:szCs w:val="22"/>
          <w:u w:val="none"/>
        </w:rPr>
        <w:tab/>
      </w:r>
      <w:r>
        <w:rPr>
          <w:rStyle w:val="Hypertextovodkaz"/>
          <w:iCs/>
          <w:color w:val="auto"/>
          <w:sz w:val="22"/>
          <w:szCs w:val="22"/>
          <w:u w:val="none"/>
        </w:rPr>
        <w:t>t</w:t>
      </w:r>
      <w:r w:rsidRPr="00491BB0">
        <w:rPr>
          <w:rStyle w:val="Hypertextovodkaz"/>
          <w:iCs/>
          <w:color w:val="auto"/>
          <w:sz w:val="22"/>
          <w:szCs w:val="22"/>
          <w:u w:val="none"/>
        </w:rPr>
        <w:t>el</w:t>
      </w:r>
      <w:r>
        <w:rPr>
          <w:rStyle w:val="Hypertextovodkaz"/>
          <w:iCs/>
          <w:color w:val="auto"/>
          <w:sz w:val="22"/>
          <w:szCs w:val="22"/>
          <w:u w:val="none"/>
        </w:rPr>
        <w:t>.:</w:t>
      </w:r>
      <w:r w:rsidRPr="00491BB0">
        <w:rPr>
          <w:rStyle w:val="Hypertextovodkaz"/>
          <w:iCs/>
          <w:color w:val="auto"/>
          <w:sz w:val="22"/>
          <w:szCs w:val="22"/>
          <w:u w:val="none"/>
        </w:rPr>
        <w:t xml:space="preserve"> 543</w:t>
      </w:r>
      <w:r>
        <w:rPr>
          <w:rStyle w:val="Hypertextovodkaz"/>
          <w:iCs/>
          <w:color w:val="auto"/>
          <w:sz w:val="22"/>
          <w:szCs w:val="22"/>
          <w:u w:val="none"/>
        </w:rPr>
        <w:t> </w:t>
      </w:r>
      <w:r w:rsidRPr="00491BB0">
        <w:rPr>
          <w:rStyle w:val="Hypertextovodkaz"/>
          <w:iCs/>
          <w:color w:val="auto"/>
          <w:sz w:val="22"/>
          <w:szCs w:val="22"/>
          <w:u w:val="none"/>
        </w:rPr>
        <w:t>171</w:t>
      </w:r>
      <w:r>
        <w:rPr>
          <w:rStyle w:val="Hypertextovodkaz"/>
          <w:iCs/>
          <w:color w:val="auto"/>
          <w:sz w:val="22"/>
          <w:szCs w:val="22"/>
          <w:u w:val="none"/>
        </w:rPr>
        <w:t xml:space="preserve"> </w:t>
      </w:r>
      <w:r w:rsidRPr="00491BB0">
        <w:rPr>
          <w:rStyle w:val="Hypertextovodkaz"/>
          <w:iCs/>
          <w:color w:val="auto"/>
          <w:sz w:val="22"/>
          <w:szCs w:val="22"/>
          <w:u w:val="none"/>
        </w:rPr>
        <w:t xml:space="preserve">314, e-mail: </w:t>
      </w:r>
      <w:hyperlink r:id="rId9" w:history="1">
        <w:r w:rsidRPr="0017371E">
          <w:rPr>
            <w:rStyle w:val="Hypertextovodkaz"/>
            <w:iCs/>
            <w:sz w:val="22"/>
            <w:szCs w:val="22"/>
          </w:rPr>
          <w:t>zjarolin@dpmb.cz</w:t>
        </w:r>
      </w:hyperlink>
    </w:p>
    <w:p w14:paraId="46599A5B" w14:textId="6770EAE5"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0" w:history="1">
        <w:r w:rsidRPr="009C2EC6">
          <w:rPr>
            <w:rStyle w:val="Hypertextovodkaz"/>
            <w:sz w:val="22"/>
            <w:szCs w:val="22"/>
          </w:rPr>
          <w:t>mecler@dpmb.cz</w:t>
        </w:r>
      </w:hyperlink>
    </w:p>
    <w:p w14:paraId="034D3773" w14:textId="77777777" w:rsidR="00201CB7" w:rsidRPr="00201CB7" w:rsidRDefault="00201CB7" w:rsidP="00201CB7">
      <w:pPr>
        <w:tabs>
          <w:tab w:val="left" w:pos="1425"/>
        </w:tabs>
        <w:rPr>
          <w:iCs/>
          <w:sz w:val="22"/>
          <w:szCs w:val="22"/>
        </w:rPr>
      </w:pPr>
      <w:r w:rsidRPr="00201CB7">
        <w:rPr>
          <w:iCs/>
          <w:sz w:val="22"/>
          <w:szCs w:val="22"/>
        </w:rPr>
        <w:t>Osoba odpovědná za plnění ustanovení smlouvy:</w:t>
      </w:r>
    </w:p>
    <w:p w14:paraId="77019090" w14:textId="77777777" w:rsidR="00201CB7" w:rsidRPr="009C2EC6" w:rsidRDefault="00201CB7" w:rsidP="00201CB7">
      <w:pPr>
        <w:spacing w:before="120" w:line="276" w:lineRule="auto"/>
        <w:contextualSpacing/>
        <w:rPr>
          <w:iCs/>
          <w:sz w:val="22"/>
          <w:szCs w:val="22"/>
        </w:rPr>
      </w:pPr>
      <w:r>
        <w:rPr>
          <w:iCs/>
          <w:sz w:val="22"/>
          <w:szCs w:val="22"/>
        </w:rPr>
        <w:tab/>
      </w:r>
      <w:r>
        <w:rPr>
          <w:iCs/>
          <w:sz w:val="22"/>
          <w:szCs w:val="22"/>
        </w:rPr>
        <w:tab/>
      </w:r>
      <w:r>
        <w:rPr>
          <w:iCs/>
          <w:sz w:val="22"/>
          <w:szCs w:val="22"/>
        </w:rPr>
        <w:tab/>
      </w:r>
      <w:r>
        <w:rPr>
          <w:iCs/>
          <w:sz w:val="22"/>
          <w:szCs w:val="22"/>
        </w:rPr>
        <w:t>Mgr. Roman Houbal</w:t>
      </w:r>
      <w:r w:rsidRPr="009C2EC6">
        <w:rPr>
          <w:iCs/>
          <w:sz w:val="22"/>
          <w:szCs w:val="22"/>
        </w:rPr>
        <w:t xml:space="preserve">, </w:t>
      </w:r>
      <w:r>
        <w:rPr>
          <w:iCs/>
          <w:sz w:val="22"/>
          <w:szCs w:val="22"/>
        </w:rPr>
        <w:t xml:space="preserve">vedoucí oddělení </w:t>
      </w:r>
      <w:r w:rsidRPr="009C2EC6">
        <w:rPr>
          <w:iCs/>
          <w:sz w:val="22"/>
          <w:szCs w:val="22"/>
        </w:rPr>
        <w:t>strojních investic</w:t>
      </w:r>
    </w:p>
    <w:p w14:paraId="1213CCC4" w14:textId="77777777" w:rsidR="00201CB7" w:rsidRPr="009C2EC6" w:rsidRDefault="00201CB7" w:rsidP="00201CB7">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Pr>
          <w:iCs/>
          <w:sz w:val="22"/>
          <w:szCs w:val="22"/>
        </w:rPr>
        <w:t>70</w:t>
      </w:r>
      <w:r w:rsidRPr="009C2EC6">
        <w:rPr>
          <w:iCs/>
          <w:sz w:val="22"/>
          <w:szCs w:val="22"/>
        </w:rPr>
        <w:t xml:space="preserve">, e-mail: </w:t>
      </w:r>
      <w:hyperlink r:id="rId11" w:history="1">
        <w:r w:rsidRPr="00BD40BF">
          <w:rPr>
            <w:rStyle w:val="Hypertextovodkaz"/>
            <w:sz w:val="22"/>
            <w:szCs w:val="22"/>
          </w:rPr>
          <w:t>rhoubal@dpmb.cz</w:t>
        </w:r>
      </w:hyperlink>
    </w:p>
    <w:p w14:paraId="6102F9D6" w14:textId="2FFD55CF"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r w:rsidRPr="00ED0479">
        <w:rPr>
          <w:b/>
          <w:sz w:val="22"/>
          <w:szCs w:val="22"/>
          <w:highlight w:val="yellow"/>
        </w:rPr>
        <w:t>xxxxxxxxxxxxxxxxxxxxxxxx</w:t>
      </w:r>
    </w:p>
    <w:p w14:paraId="1BCDC37E" w14:textId="77777777" w:rsidR="00094224" w:rsidRDefault="001A76F2" w:rsidP="00CD7090">
      <w:pPr>
        <w:spacing w:before="120" w:line="276" w:lineRule="auto"/>
        <w:contextualSpacing/>
        <w:jc w:val="both"/>
        <w:rPr>
          <w:sz w:val="22"/>
          <w:szCs w:val="22"/>
        </w:rPr>
      </w:pPr>
      <w:r w:rsidRPr="00ED0479">
        <w:rPr>
          <w:sz w:val="22"/>
          <w:szCs w:val="22"/>
          <w:highlight w:val="yellow"/>
        </w:rPr>
        <w:t>xxxxxxxxxxxxxxxxxxxxxxxxxxxxxxxxxxxxxxxx</w:t>
      </w:r>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r w:rsidR="001A76F2" w:rsidRPr="00ED0479">
        <w:rPr>
          <w:sz w:val="22"/>
          <w:szCs w:val="22"/>
          <w:highlight w:val="yellow"/>
        </w:rPr>
        <w:t>xxxxx</w:t>
      </w:r>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716DAE" w:rsidRPr="00ED0479">
        <w:rPr>
          <w:iCs/>
          <w:sz w:val="22"/>
          <w:szCs w:val="22"/>
          <w:highlight w:val="yellow"/>
        </w:rPr>
        <w:t>xxxxxxxxxxxxxxxxx</w:t>
      </w:r>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r w:rsidR="00716DAE" w:rsidRPr="00ED0479">
        <w:rPr>
          <w:sz w:val="22"/>
          <w:szCs w:val="22"/>
          <w:highlight w:val="yellow"/>
        </w:rPr>
        <w:t>xxxxxxxxxxxxxxxxx</w:t>
      </w:r>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r w:rsidR="00716DAE" w:rsidRPr="00ED0479">
        <w:rPr>
          <w:sz w:val="22"/>
          <w:szCs w:val="22"/>
          <w:highlight w:val="yellow"/>
        </w:rPr>
        <w:t>xxx xxx xxx</w:t>
      </w:r>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r w:rsidR="00716DAE" w:rsidRPr="00ED0479">
        <w:rPr>
          <w:sz w:val="22"/>
          <w:szCs w:val="22"/>
          <w:highlight w:val="yellow"/>
        </w:rPr>
        <w:t>xxxxxxxx</w:t>
      </w:r>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CZ</w:t>
      </w:r>
      <w:r w:rsidR="00716DAE" w:rsidRPr="00ED0479">
        <w:rPr>
          <w:sz w:val="22"/>
          <w:szCs w:val="22"/>
          <w:highlight w:val="yellow"/>
        </w:rPr>
        <w:t>xxxxxxxx</w:t>
      </w:r>
    </w:p>
    <w:p w14:paraId="26B6FEEC" w14:textId="77777777" w:rsidR="00FA36B6" w:rsidRDefault="00094224" w:rsidP="00FA36B6">
      <w:r w:rsidRPr="001C7910">
        <w:rPr>
          <w:sz w:val="22"/>
          <w:szCs w:val="22"/>
        </w:rPr>
        <w:t>Číslo účtu:</w:t>
      </w:r>
      <w:r w:rsidR="00284BB7">
        <w:rPr>
          <w:sz w:val="22"/>
          <w:szCs w:val="22"/>
        </w:rPr>
        <w:t xml:space="preserve"> </w:t>
      </w:r>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r w:rsidR="00FA36B6" w:rsidRPr="00ED0479">
        <w:rPr>
          <w:rStyle w:val="value"/>
          <w:sz w:val="22"/>
          <w:szCs w:val="22"/>
          <w:highlight w:val="yellow"/>
        </w:rPr>
        <w:t>/</w:t>
      </w:r>
      <w:r w:rsidR="00716DAE" w:rsidRPr="00ED0479">
        <w:rPr>
          <w:rStyle w:val="value"/>
          <w:sz w:val="22"/>
          <w:szCs w:val="22"/>
          <w:highlight w:val="yellow"/>
        </w:rPr>
        <w:t>xxxx</w:t>
      </w:r>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4B4F7104" w14:textId="77777777" w:rsidR="003B7469" w:rsidRPr="003B7469" w:rsidRDefault="00115736" w:rsidP="00C05C53">
      <w:pPr>
        <w:pStyle w:val="Odstavecseseznamem"/>
        <w:numPr>
          <w:ilvl w:val="0"/>
          <w:numId w:val="10"/>
        </w:numPr>
        <w:spacing w:line="276" w:lineRule="auto"/>
        <w:ind w:left="426" w:hanging="426"/>
        <w:jc w:val="both"/>
        <w:rPr>
          <w:sz w:val="22"/>
          <w:szCs w:val="22"/>
        </w:rPr>
      </w:pPr>
      <w:r w:rsidRPr="00115736">
        <w:rPr>
          <w:sz w:val="22"/>
          <w:szCs w:val="22"/>
          <w:shd w:val="clear" w:color="auto" w:fill="FFFFFF"/>
        </w:rPr>
        <w:t>Předmětem této smlouvy je obnova plovoucích zařízení</w:t>
      </w:r>
      <w:r w:rsidR="003B7469">
        <w:rPr>
          <w:sz w:val="22"/>
          <w:szCs w:val="22"/>
          <w:shd w:val="clear" w:color="auto" w:fill="FFFFFF"/>
        </w:rPr>
        <w:t xml:space="preserve"> v následujícím rozsahu:</w:t>
      </w:r>
    </w:p>
    <w:p w14:paraId="3CACA85D" w14:textId="0013F575" w:rsidR="003B7469" w:rsidRPr="003B7469" w:rsidRDefault="003B7469" w:rsidP="003B7469">
      <w:pPr>
        <w:pStyle w:val="Odstavecseseznamem"/>
        <w:numPr>
          <w:ilvl w:val="2"/>
          <w:numId w:val="10"/>
        </w:numPr>
        <w:spacing w:line="276" w:lineRule="auto"/>
        <w:jc w:val="both"/>
        <w:rPr>
          <w:sz w:val="22"/>
          <w:szCs w:val="22"/>
        </w:rPr>
      </w:pPr>
      <w:r>
        <w:rPr>
          <w:sz w:val="22"/>
          <w:szCs w:val="22"/>
        </w:rPr>
        <w:t>přístavní plovoucí molo</w:t>
      </w:r>
      <w:r w:rsidR="00B40B4D">
        <w:rPr>
          <w:sz w:val="22"/>
          <w:szCs w:val="22"/>
        </w:rPr>
        <w:t xml:space="preserve">, v rozsahu </w:t>
      </w:r>
      <w:r w:rsidR="00B40B4D" w:rsidRPr="00115736">
        <w:rPr>
          <w:sz w:val="22"/>
          <w:szCs w:val="22"/>
          <w:shd w:val="clear" w:color="auto" w:fill="FFFFFF"/>
        </w:rPr>
        <w:t>dle schválené projektové dokumentace v příloze č.</w:t>
      </w:r>
      <w:r w:rsidR="00B40B4D">
        <w:rPr>
          <w:sz w:val="22"/>
          <w:szCs w:val="22"/>
          <w:shd w:val="clear" w:color="auto" w:fill="FFFFFF"/>
        </w:rPr>
        <w:t xml:space="preserve"> </w:t>
      </w:r>
      <w:r w:rsidR="00B40B4D" w:rsidRPr="00115736">
        <w:rPr>
          <w:sz w:val="22"/>
          <w:szCs w:val="22"/>
          <w:shd w:val="clear" w:color="auto" w:fill="FFFFFF"/>
        </w:rPr>
        <w:t>1</w:t>
      </w:r>
    </w:p>
    <w:p w14:paraId="501E6445" w14:textId="77777777" w:rsidR="00B40B4D" w:rsidRDefault="003B7469" w:rsidP="00B40B4D">
      <w:pPr>
        <w:pStyle w:val="Odstavecseseznamem"/>
        <w:numPr>
          <w:ilvl w:val="2"/>
          <w:numId w:val="10"/>
        </w:numPr>
        <w:spacing w:line="276" w:lineRule="auto"/>
        <w:jc w:val="both"/>
        <w:rPr>
          <w:sz w:val="22"/>
          <w:szCs w:val="22"/>
        </w:rPr>
      </w:pPr>
      <w:r w:rsidRPr="003B7469">
        <w:rPr>
          <w:sz w:val="22"/>
          <w:szCs w:val="22"/>
          <w:shd w:val="clear" w:color="auto" w:fill="FFFFFF"/>
        </w:rPr>
        <w:t xml:space="preserve">2 ks </w:t>
      </w:r>
      <w:r w:rsidRPr="003B7469">
        <w:rPr>
          <w:sz w:val="22"/>
          <w:szCs w:val="22"/>
        </w:rPr>
        <w:t>pontonu přechodového můstku</w:t>
      </w:r>
      <w:r w:rsidR="00B40B4D">
        <w:rPr>
          <w:sz w:val="22"/>
          <w:szCs w:val="22"/>
        </w:rPr>
        <w:t>,</w:t>
      </w:r>
      <w:r w:rsidRPr="003B7469">
        <w:rPr>
          <w:sz w:val="22"/>
          <w:szCs w:val="22"/>
        </w:rPr>
        <w:t xml:space="preserve"> </w:t>
      </w:r>
      <w:r w:rsidR="00B40B4D">
        <w:rPr>
          <w:sz w:val="22"/>
          <w:szCs w:val="22"/>
        </w:rPr>
        <w:t>specifikované</w:t>
      </w:r>
      <w:r w:rsidR="00115736" w:rsidRPr="00115736">
        <w:rPr>
          <w:sz w:val="22"/>
          <w:szCs w:val="22"/>
          <w:shd w:val="clear" w:color="auto" w:fill="FFFFFF"/>
        </w:rPr>
        <w:t xml:space="preserve"> </w:t>
      </w:r>
      <w:r w:rsidR="00B40B4D">
        <w:rPr>
          <w:sz w:val="22"/>
          <w:szCs w:val="22"/>
          <w:shd w:val="clear" w:color="auto" w:fill="FFFFFF"/>
        </w:rPr>
        <w:t xml:space="preserve">dle </w:t>
      </w:r>
      <w:r w:rsidR="00115736" w:rsidRPr="00115736">
        <w:rPr>
          <w:sz w:val="22"/>
          <w:szCs w:val="22"/>
          <w:shd w:val="clear" w:color="auto" w:fill="FFFFFF"/>
        </w:rPr>
        <w:t>technického zadání v příloze č</w:t>
      </w:r>
      <w:r w:rsidR="00F70047">
        <w:rPr>
          <w:sz w:val="22"/>
          <w:szCs w:val="22"/>
          <w:shd w:val="clear" w:color="auto" w:fill="FFFFFF"/>
        </w:rPr>
        <w:t>.</w:t>
      </w:r>
      <w:r w:rsidR="008E71E7">
        <w:rPr>
          <w:sz w:val="22"/>
          <w:szCs w:val="22"/>
          <w:shd w:val="clear" w:color="auto" w:fill="FFFFFF"/>
        </w:rPr>
        <w:t xml:space="preserve"> </w:t>
      </w:r>
      <w:r w:rsidR="00115736" w:rsidRPr="00115736">
        <w:rPr>
          <w:sz w:val="22"/>
          <w:szCs w:val="22"/>
          <w:shd w:val="clear" w:color="auto" w:fill="FFFFFF"/>
        </w:rPr>
        <w:t>2</w:t>
      </w:r>
    </w:p>
    <w:p w14:paraId="72B7FC46" w14:textId="0C2AE400" w:rsidR="00115736" w:rsidRPr="00B40B4D" w:rsidRDefault="00B40B4D" w:rsidP="00B40B4D">
      <w:pPr>
        <w:pStyle w:val="Odstavecseseznamem"/>
        <w:spacing w:line="276" w:lineRule="auto"/>
        <w:ind w:left="426"/>
        <w:jc w:val="both"/>
        <w:rPr>
          <w:sz w:val="22"/>
          <w:szCs w:val="22"/>
        </w:rPr>
      </w:pPr>
      <w:r>
        <w:rPr>
          <w:sz w:val="22"/>
          <w:szCs w:val="22"/>
        </w:rPr>
        <w:t>Příloha č. 1 a příloha č. 2 jsou</w:t>
      </w:r>
      <w:r w:rsidR="00115736" w:rsidRPr="00B40B4D">
        <w:rPr>
          <w:sz w:val="22"/>
          <w:szCs w:val="22"/>
          <w:shd w:val="clear" w:color="auto" w:fill="FFFFFF"/>
        </w:rPr>
        <w:t xml:space="preserve"> nedílnou součástí této smlouvy (dále jen „předmět smlouvy“ nebo „plnění“).</w:t>
      </w:r>
    </w:p>
    <w:p w14:paraId="7F8795BB" w14:textId="03B2857F" w:rsidR="00C05C53" w:rsidRDefault="00C05C53" w:rsidP="00C05C53">
      <w:pPr>
        <w:pStyle w:val="Odstavecseseznamem"/>
        <w:numPr>
          <w:ilvl w:val="0"/>
          <w:numId w:val="10"/>
        </w:numPr>
        <w:spacing w:line="276" w:lineRule="auto"/>
        <w:ind w:left="426" w:hanging="426"/>
        <w:jc w:val="both"/>
        <w:rPr>
          <w:sz w:val="22"/>
          <w:szCs w:val="22"/>
        </w:rPr>
      </w:pPr>
      <w:r w:rsidRPr="009C2EC6">
        <w:rPr>
          <w:sz w:val="22"/>
          <w:szCs w:val="22"/>
        </w:rPr>
        <w:t xml:space="preserve">Místem plnění je </w:t>
      </w:r>
      <w:r w:rsidR="009C2EC6">
        <w:rPr>
          <w:sz w:val="22"/>
          <w:szCs w:val="22"/>
        </w:rPr>
        <w:t>areál DPMB</w:t>
      </w:r>
      <w:r w:rsidRPr="009C2EC6">
        <w:rPr>
          <w:sz w:val="22"/>
          <w:szCs w:val="22"/>
        </w:rPr>
        <w:t>,</w:t>
      </w:r>
      <w:r w:rsidR="004D6894" w:rsidRPr="009C2EC6">
        <w:rPr>
          <w:sz w:val="22"/>
          <w:szCs w:val="22"/>
        </w:rPr>
        <w:t xml:space="preserve"> </w:t>
      </w:r>
      <w:r w:rsidR="009C2EC6">
        <w:rPr>
          <w:sz w:val="22"/>
          <w:szCs w:val="22"/>
        </w:rPr>
        <w:t>Přístavní 40,</w:t>
      </w:r>
      <w:r w:rsidR="004D6894">
        <w:rPr>
          <w:sz w:val="22"/>
          <w:szCs w:val="22"/>
        </w:rPr>
        <w:t> Brn</w:t>
      </w:r>
      <w:r w:rsidR="009C2EC6">
        <w:rPr>
          <w:sz w:val="22"/>
          <w:szCs w:val="22"/>
        </w:rPr>
        <w:t>o</w:t>
      </w:r>
      <w:r w:rsidR="004D6894">
        <w:rPr>
          <w:sz w:val="22"/>
          <w:szCs w:val="22"/>
        </w:rPr>
        <w:t xml:space="preserve"> Bystrc. </w:t>
      </w:r>
    </w:p>
    <w:p w14:paraId="7BE5854D" w14:textId="13588016" w:rsidR="00C0559A" w:rsidRPr="004D6894" w:rsidRDefault="00C0559A" w:rsidP="00C0559A">
      <w:pPr>
        <w:pStyle w:val="Zkladntext21"/>
        <w:numPr>
          <w:ilvl w:val="0"/>
          <w:numId w:val="10"/>
        </w:numPr>
        <w:tabs>
          <w:tab w:val="clear" w:pos="709"/>
          <w:tab w:val="clear" w:pos="1134"/>
          <w:tab w:val="clear" w:pos="3402"/>
          <w:tab w:val="clear" w:pos="5670"/>
          <w:tab w:val="clear" w:pos="6804"/>
          <w:tab w:val="left" w:pos="426"/>
        </w:tabs>
        <w:suppressAutoHyphens/>
        <w:overflowPunct/>
        <w:autoSpaceDE/>
        <w:autoSpaceDN/>
        <w:adjustRightInd/>
        <w:ind w:left="426" w:hanging="426"/>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přenáší objednatel na zhotovitele odbornou, stavební, technickou, ekonomickou a organizační odpovědnost za přípravu a realizaci </w:t>
      </w:r>
      <w:r>
        <w:rPr>
          <w:rFonts w:ascii="Times New Roman" w:hAnsi="Times New Roman"/>
          <w:sz w:val="22"/>
          <w:szCs w:val="22"/>
        </w:rPr>
        <w:t xml:space="preserve">předmětu smlouvy </w:t>
      </w:r>
      <w:r w:rsidRPr="004D6894">
        <w:rPr>
          <w:rFonts w:ascii="Times New Roman" w:hAnsi="Times New Roman"/>
          <w:sz w:val="22"/>
          <w:szCs w:val="22"/>
        </w:rPr>
        <w:t>a </w:t>
      </w:r>
      <w:r w:rsidRPr="00C0559A">
        <w:rPr>
          <w:rFonts w:ascii="Times New Roman" w:hAnsi="Times New Roman"/>
          <w:sz w:val="22"/>
          <w:szCs w:val="22"/>
        </w:rPr>
        <w:t>stejně tak i za provádění prací.</w:t>
      </w:r>
    </w:p>
    <w:p w14:paraId="1C053789" w14:textId="644E78F6"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Zhotovitel se zavazuje provést předmět smlouvy na svůj náklad a nebezpečí. Objednatel se zavazuje, že řádně dokončené dílo převezme a zaplatí za jeho provedení zhotoviteli dále dohodnutou cenu.</w:t>
      </w:r>
    </w:p>
    <w:p w14:paraId="67731B2E" w14:textId="55FCFE35"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předmětem smlouvy</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 /2008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334D32" w:rsidRDefault="00334D32" w:rsidP="00334D32">
      <w:pPr>
        <w:pStyle w:val="Zkladntext"/>
        <w:numPr>
          <w:ilvl w:val="0"/>
          <w:numId w:val="20"/>
        </w:numPr>
        <w:rPr>
          <w:sz w:val="22"/>
          <w:szCs w:val="22"/>
        </w:rPr>
      </w:pPr>
      <w:r w:rsidRPr="00334D32">
        <w:rPr>
          <w:sz w:val="22"/>
          <w:szCs w:val="22"/>
        </w:rPr>
        <w:t>protokol o předání převzetí</w:t>
      </w:r>
    </w:p>
    <w:p w14:paraId="240E9B06" w14:textId="77777777" w:rsidR="00334D32" w:rsidRPr="00334D32" w:rsidRDefault="00334D32" w:rsidP="00334D32">
      <w:pPr>
        <w:pStyle w:val="Zkladntext"/>
        <w:numPr>
          <w:ilvl w:val="0"/>
          <w:numId w:val="20"/>
        </w:numPr>
        <w:rPr>
          <w:sz w:val="22"/>
          <w:szCs w:val="22"/>
        </w:rPr>
      </w:pPr>
      <w:r w:rsidRPr="00334D32">
        <w:rPr>
          <w:sz w:val="22"/>
          <w:szCs w:val="22"/>
        </w:rPr>
        <w:t>prohlášení o shodě</w:t>
      </w:r>
    </w:p>
    <w:p w14:paraId="5F5DF385" w14:textId="77777777" w:rsidR="00334D32" w:rsidRPr="00334D32" w:rsidRDefault="00334D32" w:rsidP="00334D32">
      <w:pPr>
        <w:pStyle w:val="Zkladntext"/>
        <w:numPr>
          <w:ilvl w:val="0"/>
          <w:numId w:val="20"/>
        </w:numPr>
        <w:rPr>
          <w:sz w:val="22"/>
          <w:szCs w:val="22"/>
        </w:rPr>
      </w:pPr>
      <w:r w:rsidRPr="00334D32">
        <w:rPr>
          <w:sz w:val="22"/>
          <w:szCs w:val="22"/>
        </w:rPr>
        <w:t>návod na obsluhu</w:t>
      </w:r>
    </w:p>
    <w:p w14:paraId="325413F4" w14:textId="77777777" w:rsidR="00334D32" w:rsidRPr="00334D32" w:rsidRDefault="00334D32" w:rsidP="00334D32">
      <w:pPr>
        <w:pStyle w:val="Zkladntext"/>
        <w:numPr>
          <w:ilvl w:val="0"/>
          <w:numId w:val="20"/>
        </w:numPr>
        <w:rPr>
          <w:sz w:val="22"/>
          <w:szCs w:val="22"/>
        </w:rPr>
      </w:pPr>
      <w:r w:rsidRPr="00334D32">
        <w:rPr>
          <w:sz w:val="22"/>
          <w:szCs w:val="22"/>
        </w:rPr>
        <w:t>záruční list</w:t>
      </w:r>
    </w:p>
    <w:p w14:paraId="5E8E3AED" w14:textId="10052FCA" w:rsidR="00334D32" w:rsidRDefault="00334D32" w:rsidP="00334D32">
      <w:pPr>
        <w:pStyle w:val="Zkladntext"/>
        <w:numPr>
          <w:ilvl w:val="0"/>
          <w:numId w:val="20"/>
        </w:numPr>
        <w:rPr>
          <w:sz w:val="22"/>
          <w:szCs w:val="22"/>
        </w:rPr>
      </w:pPr>
      <w:r w:rsidRPr="00334D32">
        <w:rPr>
          <w:sz w:val="22"/>
          <w:szCs w:val="22"/>
        </w:rPr>
        <w:t>protokol o zaškolení obsluhy a uvedení do provozu</w:t>
      </w:r>
    </w:p>
    <w:p w14:paraId="5807CE08" w14:textId="6C611213" w:rsidR="00C0559A" w:rsidRPr="00115736" w:rsidRDefault="00115736" w:rsidP="00115736">
      <w:pPr>
        <w:pStyle w:val="Odstavecseseznamem"/>
        <w:numPr>
          <w:ilvl w:val="0"/>
          <w:numId w:val="20"/>
        </w:numPr>
        <w:tabs>
          <w:tab w:val="left" w:pos="720"/>
        </w:tabs>
        <w:jc w:val="both"/>
        <w:rPr>
          <w:b/>
          <w:sz w:val="22"/>
          <w:szCs w:val="22"/>
        </w:rPr>
      </w:pPr>
      <w:r w:rsidRPr="00115736">
        <w:rPr>
          <w:sz w:val="22"/>
          <w:szCs w:val="22"/>
          <w:shd w:val="clear" w:color="auto" w:fill="FFFFFF"/>
        </w:rPr>
        <w:t xml:space="preserve">veškeré doklady k povolení provozu vydané subjektem majícím pověření k provádění technických prohlídek plavidel ve smyslu § 10 odst. 4 zákona o vnitrozemské plavbě č. 114/1995 Sb. – Osvědčení inspekční organizace a Inspekční zpráva o technické prohlídce Státní plavební správou (SPS) – </w:t>
      </w:r>
      <w:r w:rsidR="00B83A4B" w:rsidRPr="00B83A4B">
        <w:rPr>
          <w:sz w:val="22"/>
          <w:szCs w:val="22"/>
        </w:rPr>
        <w:t>Osvědčení plovoucího zařízení</w:t>
      </w:r>
    </w:p>
    <w:p w14:paraId="4A45C7D1" w14:textId="77777777" w:rsidR="00115736" w:rsidRPr="00115736" w:rsidRDefault="00115736" w:rsidP="00115736">
      <w:pPr>
        <w:pStyle w:val="Odstavecseseznamem"/>
        <w:tabs>
          <w:tab w:val="left" w:pos="720"/>
        </w:tabs>
        <w:ind w:left="360"/>
        <w:jc w:val="both"/>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7777777"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14:paraId="670B638A" w14:textId="532C6C99" w:rsidR="00A77332" w:rsidRPr="00C219AD" w:rsidRDefault="00A77332" w:rsidP="00846F21">
      <w:pPr>
        <w:pStyle w:val="Odstavecseseznamem"/>
        <w:numPr>
          <w:ilvl w:val="0"/>
          <w:numId w:val="2"/>
        </w:numPr>
        <w:spacing w:line="276" w:lineRule="auto"/>
        <w:ind w:left="426" w:hanging="426"/>
        <w:jc w:val="both"/>
        <w:rPr>
          <w:sz w:val="22"/>
          <w:szCs w:val="22"/>
        </w:rPr>
      </w:pPr>
      <w:r>
        <w:rPr>
          <w:sz w:val="22"/>
          <w:szCs w:val="22"/>
        </w:rPr>
        <w:t xml:space="preserve">Termín zahájení: </w:t>
      </w:r>
      <w:r w:rsidR="00E44180">
        <w:rPr>
          <w:sz w:val="22"/>
          <w:szCs w:val="22"/>
        </w:rPr>
        <w:t xml:space="preserve">bezodkladně po </w:t>
      </w:r>
      <w:r w:rsidR="00D76F79">
        <w:rPr>
          <w:sz w:val="22"/>
          <w:szCs w:val="22"/>
        </w:rPr>
        <w:t xml:space="preserve">nabytí </w:t>
      </w:r>
      <w:r w:rsidR="00FF2BAC">
        <w:rPr>
          <w:sz w:val="22"/>
          <w:szCs w:val="22"/>
        </w:rPr>
        <w:t>účinnosti</w:t>
      </w:r>
      <w:r w:rsidR="00E44180">
        <w:rPr>
          <w:sz w:val="22"/>
          <w:szCs w:val="22"/>
        </w:rPr>
        <w:t xml:space="preserve"> této smlouvy</w:t>
      </w:r>
    </w:p>
    <w:p w14:paraId="3AF68544" w14:textId="1D37D2D1" w:rsidR="000A6156" w:rsidRPr="00D606EA" w:rsidRDefault="00A8213E" w:rsidP="00DA18FF">
      <w:pPr>
        <w:pStyle w:val="Odstavecseseznamem"/>
        <w:numPr>
          <w:ilvl w:val="0"/>
          <w:numId w:val="2"/>
        </w:numPr>
        <w:spacing w:line="276" w:lineRule="auto"/>
        <w:ind w:left="426" w:hanging="426"/>
        <w:jc w:val="both"/>
        <w:rPr>
          <w:sz w:val="22"/>
          <w:szCs w:val="22"/>
        </w:rPr>
      </w:pPr>
      <w:r w:rsidRPr="00D606EA">
        <w:rPr>
          <w:sz w:val="22"/>
          <w:szCs w:val="22"/>
        </w:rPr>
        <w:t>Termín ukončení</w:t>
      </w:r>
      <w:r w:rsidR="000A6156" w:rsidRPr="00D606EA">
        <w:rPr>
          <w:sz w:val="22"/>
          <w:szCs w:val="22"/>
        </w:rPr>
        <w:t>:</w:t>
      </w:r>
      <w:r w:rsidR="00E34727" w:rsidRPr="00D606EA">
        <w:rPr>
          <w:sz w:val="22"/>
          <w:szCs w:val="22"/>
        </w:rPr>
        <w:t xml:space="preserve"> do </w:t>
      </w:r>
      <w:r w:rsidR="00491BB0">
        <w:rPr>
          <w:sz w:val="22"/>
          <w:szCs w:val="22"/>
        </w:rPr>
        <w:t>8</w:t>
      </w:r>
      <w:r w:rsidR="005969D8">
        <w:rPr>
          <w:sz w:val="22"/>
          <w:szCs w:val="22"/>
        </w:rPr>
        <w:t xml:space="preserve"> </w:t>
      </w:r>
      <w:r w:rsidR="00491BB0">
        <w:rPr>
          <w:sz w:val="22"/>
          <w:szCs w:val="22"/>
        </w:rPr>
        <w:t>týdnů</w:t>
      </w:r>
      <w:r w:rsidR="005969D8">
        <w:rPr>
          <w:sz w:val="22"/>
          <w:szCs w:val="22"/>
        </w:rPr>
        <w:t xml:space="preserve"> od nabytí účinnosti této smlouvy</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7B3EAB67" w14:textId="1FF1089E" w:rsidR="007A6162" w:rsidRPr="004555D2" w:rsidRDefault="00A73AA2" w:rsidP="007A6162">
      <w:pPr>
        <w:spacing w:line="276" w:lineRule="auto"/>
        <w:ind w:left="357"/>
        <w:jc w:val="both"/>
        <w:rPr>
          <w:rFonts w:eastAsia="Lucida Grande"/>
          <w:sz w:val="22"/>
          <w:szCs w:val="22"/>
        </w:rPr>
      </w:pPr>
      <w:r w:rsidRPr="00ED0479">
        <w:rPr>
          <w:rFonts w:eastAsia="Lucida Grande"/>
          <w:sz w:val="22"/>
          <w:szCs w:val="22"/>
          <w:highlight w:val="yellow"/>
        </w:rPr>
        <w:t>xxx</w:t>
      </w:r>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r w:rsidRPr="00ED0479">
        <w:rPr>
          <w:rFonts w:eastAsia="Lucida Grande"/>
          <w:sz w:val="22"/>
          <w:szCs w:val="22"/>
          <w:highlight w:val="yellow"/>
        </w:rPr>
        <w:t>xxx</w:t>
      </w:r>
      <w:r w:rsidR="004D51A0">
        <w:rPr>
          <w:rFonts w:eastAsia="Lucida Grande"/>
          <w:sz w:val="22"/>
          <w:szCs w:val="22"/>
        </w:rPr>
        <w:t xml:space="preserve"> </w:t>
      </w:r>
      <w:r w:rsidR="007A6162" w:rsidRPr="00177D59">
        <w:rPr>
          <w:rFonts w:eastAsia="Lucida Grande"/>
          <w:sz w:val="22"/>
          <w:szCs w:val="22"/>
        </w:rPr>
        <w:t>korun českých)</w:t>
      </w:r>
    </w:p>
    <w:p w14:paraId="5D2889A9" w14:textId="44CA4349" w:rsidR="00177D59" w:rsidRDefault="00177D59" w:rsidP="004D6894">
      <w:pPr>
        <w:pStyle w:val="Odstavecseseznamem"/>
        <w:numPr>
          <w:ilvl w:val="0"/>
          <w:numId w:val="22"/>
        </w:numPr>
        <w:ind w:left="426" w:hanging="426"/>
        <w:rPr>
          <w:sz w:val="22"/>
          <w:szCs w:val="22"/>
        </w:rPr>
      </w:pPr>
      <w:r w:rsidRPr="004D6894">
        <w:rPr>
          <w:sz w:val="22"/>
          <w:szCs w:val="22"/>
        </w:rPr>
        <w:t>Uvedená cena je pevná, nejvýše přípustná a nelze ji zvýšit, ani v důsledku změny cen vstupů nebo jiných vnějších podmínek.</w:t>
      </w:r>
    </w:p>
    <w:p w14:paraId="4E77B633" w14:textId="064F931D" w:rsidR="00F00808" w:rsidRPr="00F00808" w:rsidRDefault="00F00808" w:rsidP="00F00808">
      <w:pPr>
        <w:pStyle w:val="Seznam"/>
        <w:numPr>
          <w:ilvl w:val="0"/>
          <w:numId w:val="22"/>
        </w:numPr>
        <w:spacing w:line="276" w:lineRule="auto"/>
        <w:ind w:left="426" w:hanging="426"/>
        <w:rPr>
          <w:sz w:val="22"/>
          <w:szCs w:val="22"/>
        </w:rPr>
      </w:pPr>
      <w:r w:rsidRPr="00F00808">
        <w:rPr>
          <w:sz w:val="22"/>
          <w:szCs w:val="22"/>
        </w:rPr>
        <w:t xml:space="preserve">Zhotovitel prohlašuje, že v uvedené ceně jsou zahrnuty veškeré dodávky, demontáže, ekologická likvidace, výkony, náklady a nákladové faktory všeho druhu (např. náklady na dopravu do místa plnění a na provedení zkoušek, aj.), které zhotoviteli vzniknou po celou dobu realizace díla až do doby předání provedeného díla bez vad </w:t>
      </w:r>
      <w:r w:rsidR="002B713B">
        <w:rPr>
          <w:sz w:val="22"/>
          <w:szCs w:val="22"/>
        </w:rPr>
        <w:t xml:space="preserve">a nedodělků </w:t>
      </w:r>
      <w:r w:rsidRPr="00F00808">
        <w:rPr>
          <w:sz w:val="22"/>
          <w:szCs w:val="22"/>
        </w:rPr>
        <w:t>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77777777" w:rsidR="00103AD8" w:rsidRPr="00103AD8" w:rsidRDefault="00103AD8" w:rsidP="00F00808">
      <w:pPr>
        <w:numPr>
          <w:ilvl w:val="0"/>
          <w:numId w:val="22"/>
        </w:numPr>
        <w:spacing w:line="276" w:lineRule="auto"/>
        <w:ind w:left="426" w:hanging="426"/>
        <w:jc w:val="both"/>
        <w:rPr>
          <w:sz w:val="22"/>
          <w:szCs w:val="22"/>
        </w:rPr>
      </w:pPr>
      <w:r w:rsidRPr="00103AD8">
        <w:rPr>
          <w:sz w:val="22"/>
          <w:szCs w:val="22"/>
        </w:rPr>
        <w:t xml:space="preserve">K ceně díla bude připočtena DPH v sazbě platné ke dni uskutečněného zdanitelného plnění, a to v případě, pokud předmět fakturace není zařazen pod číselný kód klasifikace produkce CZ – CPA </w:t>
      </w:r>
      <w:r w:rsidRPr="00103AD8">
        <w:rPr>
          <w:sz w:val="22"/>
          <w:szCs w:val="22"/>
        </w:rPr>
        <w:lastRenderedPageBreak/>
        <w:t>41 až 43, u kterého se uplatní režim přenesené daňové povinnosti v souladu s § 92e zákona č. 235/2004 Sb., o dani z přidané hodnoty (dále jen zákon o dani z přidané hodnoty). Daňový doklad 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Předmět díla bude objednatelem uhrazen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1CA0703A"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w:t>
      </w:r>
      <w:r w:rsidRPr="00834C9D">
        <w:rPr>
          <w:sz w:val="22"/>
          <w:szCs w:val="22"/>
        </w:rPr>
        <w:lastRenderedPageBreak/>
        <w:t xml:space="preserve">objednatele. Zhotovitel proškolí své zaměstnance na základě platných bezpečnostních předpisů pro DPMB a.s. Odpovědná osoba za  BOZP a PO: </w:t>
      </w:r>
      <w:r w:rsidRPr="00ED0479">
        <w:rPr>
          <w:sz w:val="22"/>
          <w:szCs w:val="22"/>
          <w:highlight w:val="yellow"/>
        </w:rPr>
        <w:t>…………..</w:t>
      </w:r>
      <w:r w:rsidRPr="00834C9D">
        <w:rPr>
          <w:sz w:val="22"/>
          <w:szCs w:val="22"/>
        </w:rPr>
        <w:t>, tel</w:t>
      </w:r>
      <w:r w:rsidRPr="00ED0479">
        <w:rPr>
          <w:sz w:val="22"/>
          <w:szCs w:val="22"/>
          <w:highlight w:val="yellow"/>
        </w:rPr>
        <w:t>………..</w:t>
      </w:r>
      <w:r w:rsidRPr="00834C9D">
        <w:rPr>
          <w:sz w:val="22"/>
          <w:szCs w:val="22"/>
        </w:rPr>
        <w:t>.</w:t>
      </w:r>
      <w:r w:rsidRPr="00834C9D">
        <w:rPr>
          <w:iCs/>
          <w:sz w:val="22"/>
          <w:szCs w:val="22"/>
        </w:rPr>
        <w:t xml:space="preserve"> Školení odpovědné osoby </w:t>
      </w:r>
      <w:r w:rsidR="00B83A4B">
        <w:rPr>
          <w:iCs/>
          <w:sz w:val="22"/>
          <w:szCs w:val="22"/>
        </w:rPr>
        <w:t>zhotovi</w:t>
      </w:r>
      <w:r w:rsidRPr="00834C9D">
        <w:rPr>
          <w:iCs/>
          <w:sz w:val="22"/>
          <w:szCs w:val="22"/>
        </w:rPr>
        <w:t>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6931CDFE"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předmět díla a odstranit jakoukoliv poruchu nebo závadu.</w:t>
      </w: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Brno- Bystrc.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38D68364" w:rsidR="009E518D" w:rsidRDefault="009E518D" w:rsidP="005C4A88">
      <w:pPr>
        <w:numPr>
          <w:ilvl w:val="0"/>
          <w:numId w:val="6"/>
        </w:numPr>
        <w:spacing w:line="276" w:lineRule="auto"/>
        <w:ind w:left="426" w:hanging="426"/>
        <w:jc w:val="both"/>
        <w:rPr>
          <w:sz w:val="22"/>
          <w:szCs w:val="22"/>
        </w:rPr>
      </w:pPr>
      <w:r w:rsidRPr="0005373E">
        <w:rPr>
          <w:sz w:val="22"/>
          <w:szCs w:val="22"/>
        </w:rPr>
        <w:t xml:space="preserve">Na provedené dílo zhotovitel poskytuje záruku v době v trvání </w:t>
      </w:r>
      <w:r>
        <w:rPr>
          <w:sz w:val="22"/>
          <w:szCs w:val="22"/>
        </w:rPr>
        <w:t>24</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r w:rsidRPr="001C7910">
        <w:rPr>
          <w:sz w:val="22"/>
          <w:szCs w:val="22"/>
        </w:rPr>
        <w:t>odstranit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69BB9042" w14:textId="6ECB99BF" w:rsidR="0009483D" w:rsidRDefault="0009483D" w:rsidP="008F7AE9">
      <w:pPr>
        <w:tabs>
          <w:tab w:val="left" w:pos="720"/>
        </w:tabs>
        <w:spacing w:line="276" w:lineRule="auto"/>
        <w:ind w:left="720" w:hanging="720"/>
        <w:jc w:val="center"/>
        <w:rPr>
          <w:b/>
          <w:sz w:val="22"/>
          <w:szCs w:val="22"/>
        </w:rPr>
      </w:pPr>
    </w:p>
    <w:p w14:paraId="13D61F03" w14:textId="18707BDA" w:rsidR="00AA71AE" w:rsidRDefault="00AA71AE" w:rsidP="008F7AE9">
      <w:pPr>
        <w:tabs>
          <w:tab w:val="left" w:pos="720"/>
        </w:tabs>
        <w:spacing w:line="276" w:lineRule="auto"/>
        <w:ind w:left="720" w:hanging="720"/>
        <w:jc w:val="center"/>
        <w:rPr>
          <w:b/>
          <w:sz w:val="22"/>
          <w:szCs w:val="22"/>
        </w:rPr>
      </w:pPr>
    </w:p>
    <w:p w14:paraId="2E4C11CB" w14:textId="77777777" w:rsidR="00AA71AE" w:rsidRDefault="00AA71AE"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lastRenderedPageBreak/>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77777777"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předmětem plnění vznikly straně druhé.</w:t>
      </w:r>
    </w:p>
    <w:p w14:paraId="3BA55830" w14:textId="55E3FDC6"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Smluvní pokuta při nedodržení smluvního termínu realizace</w:t>
      </w:r>
      <w:r w:rsidR="00261054" w:rsidRPr="00D606EA">
        <w:rPr>
          <w:sz w:val="22"/>
          <w:szCs w:val="22"/>
        </w:rPr>
        <w:t xml:space="preserve"> a předání</w:t>
      </w:r>
      <w:r w:rsidRPr="00D606EA">
        <w:rPr>
          <w:sz w:val="22"/>
          <w:szCs w:val="22"/>
        </w:rPr>
        <w:t xml:space="preserve"> </w:t>
      </w:r>
      <w:r w:rsidR="00261054" w:rsidRPr="00D606EA">
        <w:rPr>
          <w:sz w:val="22"/>
          <w:szCs w:val="22"/>
        </w:rPr>
        <w:t>díla</w:t>
      </w:r>
      <w:r w:rsidRPr="00D606EA">
        <w:rPr>
          <w:sz w:val="22"/>
          <w:szCs w:val="22"/>
        </w:rPr>
        <w:t xml:space="preserve"> činí </w:t>
      </w:r>
      <w:r w:rsidR="00722F4C" w:rsidRPr="00D606EA">
        <w:rPr>
          <w:sz w:val="22"/>
          <w:szCs w:val="22"/>
        </w:rPr>
        <w:t>1 000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77777777" w:rsidR="00B30171" w:rsidRPr="001C7910" w:rsidRDefault="00B30171" w:rsidP="008F7AE9">
      <w:pPr>
        <w:tabs>
          <w:tab w:val="left" w:pos="720"/>
        </w:tabs>
        <w:spacing w:line="276" w:lineRule="auto"/>
        <w:ind w:left="720" w:hanging="720"/>
        <w:jc w:val="center"/>
        <w:rPr>
          <w:b/>
          <w:sz w:val="22"/>
          <w:szCs w:val="22"/>
        </w:rPr>
      </w:pPr>
    </w:p>
    <w:p w14:paraId="7A0960BD" w14:textId="77777777" w:rsidR="00B4584F" w:rsidRPr="00B4584F" w:rsidRDefault="00B4584F" w:rsidP="00B4584F">
      <w:pPr>
        <w:pStyle w:val="Normlnweb"/>
        <w:spacing w:line="276" w:lineRule="auto"/>
        <w:jc w:val="center"/>
        <w:rPr>
          <w:b/>
          <w:bCs/>
          <w:sz w:val="22"/>
          <w:szCs w:val="22"/>
        </w:rPr>
      </w:pPr>
      <w:r w:rsidRPr="00B4584F">
        <w:rPr>
          <w:b/>
          <w:bCs/>
          <w:sz w:val="22"/>
          <w:szCs w:val="22"/>
        </w:rPr>
        <w:t xml:space="preserve">IX.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Zhotovitel i objednatel se dále zavazují nakládat s osobními údaji subjektů údajů, zejména zaměstnanců, obchodních partnerů a zákazníků, jakož s osobními údaji jiných třetích osob, s nimiž </w:t>
      </w:r>
      <w:r w:rsidRPr="00B4584F">
        <w:rPr>
          <w:sz w:val="22"/>
          <w:szCs w:val="22"/>
        </w:rPr>
        <w:lastRenderedPageBreak/>
        <w:t>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ECAA6A6" w14:textId="77777777" w:rsidR="00B4584F" w:rsidRPr="00B4584F" w:rsidRDefault="00B4584F" w:rsidP="00B4584F">
      <w:pPr>
        <w:pStyle w:val="Odstavecseseznamem"/>
        <w:spacing w:line="276" w:lineRule="auto"/>
        <w:ind w:left="426"/>
        <w:jc w:val="both"/>
        <w:rPr>
          <w:sz w:val="22"/>
          <w:szCs w:val="22"/>
        </w:rPr>
      </w:pPr>
    </w:p>
    <w:p w14:paraId="2F67FB8F" w14:textId="77777777" w:rsidR="00B4584F" w:rsidRPr="00B4584F" w:rsidRDefault="00B4584F" w:rsidP="00B4584F">
      <w:pPr>
        <w:spacing w:line="276" w:lineRule="auto"/>
        <w:jc w:val="both"/>
        <w:rPr>
          <w:sz w:val="22"/>
          <w:szCs w:val="22"/>
        </w:rPr>
      </w:pPr>
      <w:r w:rsidRPr="00B4584F">
        <w:rPr>
          <w:sz w:val="22"/>
          <w:szCs w:val="22"/>
        </w:rPr>
        <w:t xml:space="preserve">  </w:t>
      </w:r>
    </w:p>
    <w:p w14:paraId="432A5AD7" w14:textId="77777777" w:rsidR="00B4584F" w:rsidRPr="00B4584F" w:rsidRDefault="00B4584F" w:rsidP="00B4584F">
      <w:pPr>
        <w:spacing w:line="276" w:lineRule="auto"/>
        <w:jc w:val="center"/>
        <w:rPr>
          <w:b/>
          <w:sz w:val="22"/>
          <w:szCs w:val="22"/>
        </w:rPr>
      </w:pPr>
      <w:r w:rsidRPr="00B4584F">
        <w:rPr>
          <w:b/>
          <w:sz w:val="22"/>
          <w:szCs w:val="22"/>
        </w:rPr>
        <w:t>X.</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002DAAFC" w:rsidR="00B4584F" w:rsidRPr="0073303D" w:rsidRDefault="00B4584F" w:rsidP="00B4584F">
      <w:pPr>
        <w:numPr>
          <w:ilvl w:val="0"/>
          <w:numId w:val="24"/>
        </w:numPr>
        <w:spacing w:line="276" w:lineRule="auto"/>
        <w:jc w:val="both"/>
        <w:rPr>
          <w:sz w:val="22"/>
          <w:szCs w:val="22"/>
        </w:rPr>
      </w:pPr>
      <w:r w:rsidRPr="00B4584F">
        <w:rPr>
          <w:sz w:val="22"/>
          <w:szCs w:val="22"/>
        </w:rPr>
        <w:t xml:space="preserve">Nedílnou součástí této smlouvy je příloha č. 1 – </w:t>
      </w:r>
      <w:r w:rsidR="00E42ED2">
        <w:rPr>
          <w:sz w:val="22"/>
          <w:szCs w:val="22"/>
        </w:rPr>
        <w:t>P</w:t>
      </w:r>
      <w:r>
        <w:rPr>
          <w:sz w:val="22"/>
          <w:szCs w:val="22"/>
        </w:rPr>
        <w:t>rojektová dokumentace</w:t>
      </w:r>
      <w:r w:rsidR="00E42ED2">
        <w:rPr>
          <w:sz w:val="22"/>
          <w:szCs w:val="22"/>
        </w:rPr>
        <w:t xml:space="preserve"> a příloha č.</w:t>
      </w:r>
      <w:r w:rsidR="008E71E7">
        <w:rPr>
          <w:sz w:val="22"/>
          <w:szCs w:val="22"/>
        </w:rPr>
        <w:t xml:space="preserve"> </w:t>
      </w:r>
      <w:r w:rsidR="00E42ED2">
        <w:rPr>
          <w:sz w:val="22"/>
          <w:szCs w:val="22"/>
        </w:rPr>
        <w:t>2 – Technické zadání</w:t>
      </w:r>
      <w:r w:rsidRPr="00B4584F">
        <w:rPr>
          <w:sz w:val="22"/>
          <w:szCs w:val="22"/>
        </w:rPr>
        <w:t>.</w:t>
      </w:r>
    </w:p>
    <w:p w14:paraId="07EF1267" w14:textId="42BA0746" w:rsidR="00B4584F" w:rsidRPr="0073303D"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3B7D5EE6" w14:textId="53AE61AA" w:rsidR="00B4584F" w:rsidRDefault="00B4584F" w:rsidP="00B4584F">
      <w:pPr>
        <w:spacing w:line="276" w:lineRule="auto"/>
        <w:jc w:val="both"/>
        <w:rPr>
          <w:sz w:val="22"/>
          <w:szCs w:val="22"/>
        </w:rPr>
      </w:pPr>
    </w:p>
    <w:p w14:paraId="63E594DE" w14:textId="77777777" w:rsidR="00B4584F" w:rsidRPr="00B4584F" w:rsidRDefault="00B4584F" w:rsidP="00B4584F">
      <w:pPr>
        <w:spacing w:line="276" w:lineRule="auto"/>
        <w:jc w:val="both"/>
        <w:rPr>
          <w:sz w:val="22"/>
          <w:szCs w:val="22"/>
        </w:rPr>
      </w:pPr>
    </w:p>
    <w:p w14:paraId="05DA7857" w14:textId="77777777" w:rsidR="001A15E7" w:rsidRDefault="001A15E7" w:rsidP="008C3CB3">
      <w:pPr>
        <w:tabs>
          <w:tab w:val="left" w:pos="5430"/>
          <w:tab w:val="left" w:pos="6379"/>
        </w:tabs>
        <w:spacing w:line="276" w:lineRule="auto"/>
        <w:ind w:left="705" w:hanging="705"/>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r w:rsidR="001C7910">
        <w:rPr>
          <w:sz w:val="22"/>
          <w:szCs w:val="22"/>
        </w:rPr>
        <w:t xml:space="preserve"> </w:t>
      </w:r>
      <w:r w:rsidRPr="001C7910">
        <w:rPr>
          <w:sz w:val="22"/>
          <w:szCs w:val="22"/>
        </w:rPr>
        <w:t>dne</w:t>
      </w:r>
      <w:r w:rsidR="001C7910">
        <w:rPr>
          <w:sz w:val="22"/>
          <w:szCs w:val="22"/>
        </w:rPr>
        <w:t xml:space="preserve"> </w:t>
      </w:r>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77777777" w:rsidR="00B30171" w:rsidRPr="001C7910" w:rsidRDefault="00B30171" w:rsidP="008F7AE9">
      <w:pPr>
        <w:spacing w:line="276" w:lineRule="auto"/>
        <w:ind w:left="705" w:hanging="705"/>
        <w:jc w:val="both"/>
        <w:rPr>
          <w:sz w:val="22"/>
          <w:szCs w:val="22"/>
        </w:rPr>
      </w:pPr>
    </w:p>
    <w:p w14:paraId="69A017F1" w14:textId="7AE1C45E" w:rsidR="002226BD" w:rsidRDefault="002226BD" w:rsidP="008F7AE9">
      <w:pPr>
        <w:tabs>
          <w:tab w:val="left" w:pos="6379"/>
        </w:tabs>
        <w:spacing w:line="276" w:lineRule="auto"/>
        <w:rPr>
          <w:sz w:val="22"/>
          <w:szCs w:val="22"/>
        </w:rPr>
      </w:pPr>
    </w:p>
    <w:p w14:paraId="79CB3457" w14:textId="2AE56DBB" w:rsidR="001A15E7" w:rsidRDefault="001A15E7" w:rsidP="008F7AE9">
      <w:pPr>
        <w:tabs>
          <w:tab w:val="left" w:pos="6379"/>
        </w:tabs>
        <w:spacing w:line="276" w:lineRule="auto"/>
        <w:rPr>
          <w:sz w:val="22"/>
          <w:szCs w:val="22"/>
        </w:rPr>
      </w:pPr>
    </w:p>
    <w:p w14:paraId="3EAF5DE0" w14:textId="68B12407" w:rsidR="00B4584F" w:rsidRDefault="00B4584F" w:rsidP="008F7AE9">
      <w:pPr>
        <w:tabs>
          <w:tab w:val="left" w:pos="6379"/>
        </w:tabs>
        <w:spacing w:line="276" w:lineRule="auto"/>
        <w:rPr>
          <w:sz w:val="22"/>
          <w:szCs w:val="22"/>
        </w:rPr>
      </w:pPr>
    </w:p>
    <w:p w14:paraId="6EC00F96" w14:textId="5922CEAC" w:rsidR="00B4584F" w:rsidRDefault="00B4584F" w:rsidP="008F7AE9">
      <w:pPr>
        <w:tabs>
          <w:tab w:val="left" w:pos="6379"/>
        </w:tabs>
        <w:spacing w:line="276" w:lineRule="auto"/>
        <w:rPr>
          <w:sz w:val="22"/>
          <w:szCs w:val="22"/>
        </w:rPr>
      </w:pPr>
    </w:p>
    <w:p w14:paraId="3821A606" w14:textId="77777777" w:rsidR="00B4584F" w:rsidRDefault="00B4584F" w:rsidP="008F7AE9">
      <w:pPr>
        <w:tabs>
          <w:tab w:val="left" w:pos="6379"/>
        </w:tabs>
        <w:spacing w:line="276" w:lineRule="auto"/>
        <w:rPr>
          <w:sz w:val="22"/>
          <w:szCs w:val="22"/>
        </w:rPr>
      </w:pPr>
    </w:p>
    <w:p w14:paraId="3DC369FE" w14:textId="77777777" w:rsidR="0050703E" w:rsidRDefault="00124187" w:rsidP="007F6780">
      <w:pPr>
        <w:tabs>
          <w:tab w:val="left" w:pos="6379"/>
        </w:tabs>
        <w:spacing w:line="276" w:lineRule="auto"/>
        <w:rPr>
          <w:sz w:val="22"/>
          <w:szCs w:val="22"/>
        </w:rPr>
      </w:pPr>
      <w:r>
        <w:rPr>
          <w:sz w:val="22"/>
          <w:szCs w:val="22"/>
        </w:rPr>
        <w:tab/>
      </w: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71EED3C0"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0609AE">
        <w:rPr>
          <w:sz w:val="22"/>
          <w:szCs w:val="22"/>
        </w:rPr>
        <w:t xml:space="preserve">                       </w:t>
      </w:r>
      <w:r>
        <w:rPr>
          <w:sz w:val="22"/>
          <w:szCs w:val="22"/>
        </w:rPr>
        <w:t xml:space="preserve">Ing. </w:t>
      </w:r>
      <w:r w:rsidR="009D57A8">
        <w:rPr>
          <w:sz w:val="22"/>
          <w:szCs w:val="22"/>
        </w:rPr>
        <w:t>Miloš Havránek</w:t>
      </w:r>
      <w:r>
        <w:rPr>
          <w:sz w:val="22"/>
          <w:szCs w:val="22"/>
        </w:rPr>
        <w:tab/>
      </w:r>
      <w:r w:rsidR="008C3CB3">
        <w:rPr>
          <w:sz w:val="22"/>
          <w:szCs w:val="22"/>
        </w:rPr>
        <w:t xml:space="preserve">                                                                                                                                                                                                                                                                        </w:t>
      </w:r>
    </w:p>
    <w:p w14:paraId="4AAEA76D" w14:textId="4D3ABAB4" w:rsidR="005B2CF2" w:rsidRPr="001C7910" w:rsidRDefault="005B2CF2" w:rsidP="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0609AE">
        <w:rPr>
          <w:sz w:val="22"/>
          <w:szCs w:val="22"/>
        </w:rPr>
        <w:t xml:space="preserve">                 </w:t>
      </w:r>
      <w:r w:rsidR="008C3CB3">
        <w:rPr>
          <w:sz w:val="22"/>
          <w:szCs w:val="22"/>
        </w:rPr>
        <w:t>generální ředitel</w:t>
      </w:r>
    </w:p>
    <w:p w14:paraId="2959CF93" w14:textId="77777777" w:rsidR="008C3CB3" w:rsidRPr="001C7910" w:rsidRDefault="008C3CB3">
      <w:pPr>
        <w:spacing w:line="276" w:lineRule="auto"/>
        <w:ind w:left="705" w:hanging="705"/>
        <w:jc w:val="both"/>
        <w:rPr>
          <w:sz w:val="22"/>
          <w:szCs w:val="22"/>
        </w:rPr>
      </w:pPr>
    </w:p>
    <w:sectPr w:rsidR="008C3CB3" w:rsidRPr="001C7910" w:rsidSect="0073303D">
      <w:footerReference w:type="even" r:id="rId12"/>
      <w:footerReference w:type="default" r:id="rId13"/>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72E2" w14:textId="77777777" w:rsidR="004976CF" w:rsidRDefault="004976CF">
      <w:r>
        <w:separator/>
      </w:r>
    </w:p>
  </w:endnote>
  <w:endnote w:type="continuationSeparator" w:id="0">
    <w:p w14:paraId="2F4D0940" w14:textId="77777777" w:rsidR="004976CF" w:rsidRDefault="0049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58891"/>
      <w:docPartObj>
        <w:docPartGallery w:val="Page Numbers (Bottom of Page)"/>
        <w:docPartUnique/>
      </w:docPartObj>
    </w:sdtPr>
    <w:sdtEndPr/>
    <w:sdtContent>
      <w:sdt>
        <w:sdtPr>
          <w:id w:val="-1995939744"/>
          <w:docPartObj>
            <w:docPartGallery w:val="Page Numbers (Top of Page)"/>
            <w:docPartUnique/>
          </w:docPartObj>
        </w:sdtPr>
        <w:sdtEnd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B126D">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B126D">
              <w:rPr>
                <w:noProof/>
              </w:rPr>
              <w:t>6</w:t>
            </w:r>
            <w:r w:rsidRPr="00E67E5F">
              <w:rPr>
                <w:sz w:val="24"/>
                <w:szCs w:val="24"/>
              </w:rPr>
              <w:fldChar w:fldCharType="end"/>
            </w:r>
          </w:p>
        </w:sdtContent>
      </w:sdt>
    </w:sdtContent>
  </w:sdt>
  <w:p w14:paraId="6E05EF56" w14:textId="41976E8C" w:rsidR="00093EAA" w:rsidRPr="00E17B19" w:rsidRDefault="00093EAA">
    <w:pPr>
      <w:pStyle w:val="Zpat"/>
    </w:pPr>
    <w:r w:rsidRPr="00E17B19">
      <w:t xml:space="preserve">smlouva č. </w:t>
    </w:r>
    <w:r w:rsidR="00115736">
      <w:t>21</w:t>
    </w:r>
    <w:r w:rsidRPr="00E17B19">
      <w:t>/</w:t>
    </w:r>
    <w:r w:rsidR="00A77A13">
      <w:t>884</w:t>
    </w:r>
    <w:r w:rsidRPr="00E17B19">
      <w:t>/50</w:t>
    </w:r>
    <w:r w:rsidR="006D7281">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B57A" w14:textId="77777777" w:rsidR="004976CF" w:rsidRDefault="004976CF">
      <w:r>
        <w:separator/>
      </w:r>
    </w:p>
  </w:footnote>
  <w:footnote w:type="continuationSeparator" w:id="0">
    <w:p w14:paraId="5ADDFC91" w14:textId="77777777" w:rsidR="004976CF" w:rsidRDefault="00497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B0F3436"/>
    <w:multiLevelType w:val="hybridMultilevel"/>
    <w:tmpl w:val="FFBA3C90"/>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B330B86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0326593"/>
    <w:multiLevelType w:val="hybridMultilevel"/>
    <w:tmpl w:val="0764E7A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5"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3"/>
  </w:num>
  <w:num w:numId="3">
    <w:abstractNumId w:val="10"/>
  </w:num>
  <w:num w:numId="4">
    <w:abstractNumId w:val="24"/>
  </w:num>
  <w:num w:numId="5">
    <w:abstractNumId w:val="18"/>
  </w:num>
  <w:num w:numId="6">
    <w:abstractNumId w:val="16"/>
  </w:num>
  <w:num w:numId="7">
    <w:abstractNumId w:val="1"/>
  </w:num>
  <w:num w:numId="8">
    <w:abstractNumId w:val="7"/>
  </w:num>
  <w:num w:numId="9">
    <w:abstractNumId w:val="22"/>
  </w:num>
  <w:num w:numId="10">
    <w:abstractNumId w:val="5"/>
  </w:num>
  <w:num w:numId="11">
    <w:abstractNumId w:val="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1"/>
  </w:num>
  <w:num w:numId="1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0"/>
    <w:lvlOverride w:ilvl="0">
      <w:startOverride w:val="1"/>
    </w:lvlOverride>
  </w:num>
  <w:num w:numId="22">
    <w:abstractNumId w:val="21"/>
  </w:num>
  <w:num w:numId="23">
    <w:abstractNumId w:val="15"/>
  </w:num>
  <w:num w:numId="24">
    <w:abstractNumId w:val="13"/>
  </w:num>
  <w:num w:numId="25">
    <w:abstractNumId w:val="3"/>
  </w:num>
  <w:num w:numId="26">
    <w:abstractNumId w:val="9"/>
  </w:num>
  <w:num w:numId="2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36E89"/>
    <w:rsid w:val="00042C8F"/>
    <w:rsid w:val="00045B52"/>
    <w:rsid w:val="00046379"/>
    <w:rsid w:val="000464E0"/>
    <w:rsid w:val="000578E2"/>
    <w:rsid w:val="000609AE"/>
    <w:rsid w:val="000744F7"/>
    <w:rsid w:val="00075846"/>
    <w:rsid w:val="00076266"/>
    <w:rsid w:val="00083A39"/>
    <w:rsid w:val="00083D24"/>
    <w:rsid w:val="00084C82"/>
    <w:rsid w:val="00085E70"/>
    <w:rsid w:val="000913D4"/>
    <w:rsid w:val="0009276F"/>
    <w:rsid w:val="00093EAA"/>
    <w:rsid w:val="00094224"/>
    <w:rsid w:val="0009483D"/>
    <w:rsid w:val="000960DA"/>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150BF"/>
    <w:rsid w:val="00115736"/>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3567"/>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01CB7"/>
    <w:rsid w:val="0021564E"/>
    <w:rsid w:val="002226BD"/>
    <w:rsid w:val="0023323F"/>
    <w:rsid w:val="00234453"/>
    <w:rsid w:val="00235BC6"/>
    <w:rsid w:val="002529AB"/>
    <w:rsid w:val="002531C4"/>
    <w:rsid w:val="002548C8"/>
    <w:rsid w:val="00261054"/>
    <w:rsid w:val="00264B74"/>
    <w:rsid w:val="0028482F"/>
    <w:rsid w:val="00284BB7"/>
    <w:rsid w:val="00290738"/>
    <w:rsid w:val="002911AB"/>
    <w:rsid w:val="00291B89"/>
    <w:rsid w:val="00292FA0"/>
    <w:rsid w:val="002A18F1"/>
    <w:rsid w:val="002A78FB"/>
    <w:rsid w:val="002B1227"/>
    <w:rsid w:val="002B189C"/>
    <w:rsid w:val="002B198C"/>
    <w:rsid w:val="002B67A2"/>
    <w:rsid w:val="002B713B"/>
    <w:rsid w:val="002C6796"/>
    <w:rsid w:val="002E3CFF"/>
    <w:rsid w:val="002F41CA"/>
    <w:rsid w:val="002F510B"/>
    <w:rsid w:val="00304461"/>
    <w:rsid w:val="00305CDE"/>
    <w:rsid w:val="0030749A"/>
    <w:rsid w:val="00307E96"/>
    <w:rsid w:val="00317B56"/>
    <w:rsid w:val="003246B7"/>
    <w:rsid w:val="003310D7"/>
    <w:rsid w:val="00334D32"/>
    <w:rsid w:val="00340251"/>
    <w:rsid w:val="00346112"/>
    <w:rsid w:val="00347108"/>
    <w:rsid w:val="00352C06"/>
    <w:rsid w:val="0036350E"/>
    <w:rsid w:val="0036645E"/>
    <w:rsid w:val="0036718A"/>
    <w:rsid w:val="003741A1"/>
    <w:rsid w:val="00377E1F"/>
    <w:rsid w:val="00381076"/>
    <w:rsid w:val="003875D6"/>
    <w:rsid w:val="00387B9F"/>
    <w:rsid w:val="00390D2E"/>
    <w:rsid w:val="003918B0"/>
    <w:rsid w:val="0039749A"/>
    <w:rsid w:val="003A1A8F"/>
    <w:rsid w:val="003B126D"/>
    <w:rsid w:val="003B18D9"/>
    <w:rsid w:val="003B31BB"/>
    <w:rsid w:val="003B7469"/>
    <w:rsid w:val="003C04D7"/>
    <w:rsid w:val="003C0E10"/>
    <w:rsid w:val="003C57B6"/>
    <w:rsid w:val="003D1F14"/>
    <w:rsid w:val="003E2FE2"/>
    <w:rsid w:val="003F512E"/>
    <w:rsid w:val="00403BF3"/>
    <w:rsid w:val="00404524"/>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1BB0"/>
    <w:rsid w:val="00493B8E"/>
    <w:rsid w:val="004976CF"/>
    <w:rsid w:val="004A18F0"/>
    <w:rsid w:val="004A20A5"/>
    <w:rsid w:val="004A5A3A"/>
    <w:rsid w:val="004A67BD"/>
    <w:rsid w:val="004B323D"/>
    <w:rsid w:val="004C5509"/>
    <w:rsid w:val="004C5BE0"/>
    <w:rsid w:val="004D0E12"/>
    <w:rsid w:val="004D37C0"/>
    <w:rsid w:val="004D51A0"/>
    <w:rsid w:val="004D6894"/>
    <w:rsid w:val="004E6AE4"/>
    <w:rsid w:val="004F0BDE"/>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870"/>
    <w:rsid w:val="0065384F"/>
    <w:rsid w:val="006538E5"/>
    <w:rsid w:val="00654234"/>
    <w:rsid w:val="006579A6"/>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125C"/>
    <w:rsid w:val="00752A23"/>
    <w:rsid w:val="00755815"/>
    <w:rsid w:val="007571C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30525"/>
    <w:rsid w:val="00834C9D"/>
    <w:rsid w:val="00846F21"/>
    <w:rsid w:val="00865176"/>
    <w:rsid w:val="008671BF"/>
    <w:rsid w:val="008703AE"/>
    <w:rsid w:val="00872C6B"/>
    <w:rsid w:val="008740D4"/>
    <w:rsid w:val="00894983"/>
    <w:rsid w:val="00894C50"/>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3544"/>
    <w:rsid w:val="00910D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7225"/>
    <w:rsid w:val="009A496E"/>
    <w:rsid w:val="009C0562"/>
    <w:rsid w:val="009C2EC6"/>
    <w:rsid w:val="009D2E96"/>
    <w:rsid w:val="009D37AF"/>
    <w:rsid w:val="009D57A8"/>
    <w:rsid w:val="009D66E4"/>
    <w:rsid w:val="009E3720"/>
    <w:rsid w:val="009E518D"/>
    <w:rsid w:val="009F08AF"/>
    <w:rsid w:val="009F2D3C"/>
    <w:rsid w:val="009F79EA"/>
    <w:rsid w:val="00A02830"/>
    <w:rsid w:val="00A16C9E"/>
    <w:rsid w:val="00A24BE6"/>
    <w:rsid w:val="00A26A51"/>
    <w:rsid w:val="00A27A81"/>
    <w:rsid w:val="00A36F2E"/>
    <w:rsid w:val="00A41F71"/>
    <w:rsid w:val="00A51CB2"/>
    <w:rsid w:val="00A5210D"/>
    <w:rsid w:val="00A57A80"/>
    <w:rsid w:val="00A60ADE"/>
    <w:rsid w:val="00A624E1"/>
    <w:rsid w:val="00A6639D"/>
    <w:rsid w:val="00A717A0"/>
    <w:rsid w:val="00A73AA2"/>
    <w:rsid w:val="00A7448D"/>
    <w:rsid w:val="00A75024"/>
    <w:rsid w:val="00A75C99"/>
    <w:rsid w:val="00A77332"/>
    <w:rsid w:val="00A77A13"/>
    <w:rsid w:val="00A8213E"/>
    <w:rsid w:val="00A82F02"/>
    <w:rsid w:val="00A90376"/>
    <w:rsid w:val="00A93047"/>
    <w:rsid w:val="00A974D0"/>
    <w:rsid w:val="00AA441E"/>
    <w:rsid w:val="00AA6A08"/>
    <w:rsid w:val="00AA71AE"/>
    <w:rsid w:val="00AB0E19"/>
    <w:rsid w:val="00AB4934"/>
    <w:rsid w:val="00AB62AF"/>
    <w:rsid w:val="00AB6D61"/>
    <w:rsid w:val="00AC4090"/>
    <w:rsid w:val="00AC5462"/>
    <w:rsid w:val="00AF1156"/>
    <w:rsid w:val="00AF182D"/>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0B4D"/>
    <w:rsid w:val="00B43426"/>
    <w:rsid w:val="00B45723"/>
    <w:rsid w:val="00B4584F"/>
    <w:rsid w:val="00B47AF4"/>
    <w:rsid w:val="00B52FB8"/>
    <w:rsid w:val="00B53723"/>
    <w:rsid w:val="00B53FFE"/>
    <w:rsid w:val="00B57BE2"/>
    <w:rsid w:val="00B6080A"/>
    <w:rsid w:val="00B620B6"/>
    <w:rsid w:val="00B72550"/>
    <w:rsid w:val="00B72626"/>
    <w:rsid w:val="00B72D16"/>
    <w:rsid w:val="00B83970"/>
    <w:rsid w:val="00B83A4B"/>
    <w:rsid w:val="00B91EEE"/>
    <w:rsid w:val="00B938AD"/>
    <w:rsid w:val="00B950F6"/>
    <w:rsid w:val="00BA0AB3"/>
    <w:rsid w:val="00BA3D14"/>
    <w:rsid w:val="00BA6CF6"/>
    <w:rsid w:val="00BC470D"/>
    <w:rsid w:val="00BD0B3D"/>
    <w:rsid w:val="00BD3B66"/>
    <w:rsid w:val="00BD578A"/>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79BF"/>
    <w:rsid w:val="00C87F2E"/>
    <w:rsid w:val="00C92259"/>
    <w:rsid w:val="00C9276E"/>
    <w:rsid w:val="00C9598C"/>
    <w:rsid w:val="00C95DD3"/>
    <w:rsid w:val="00CA05CF"/>
    <w:rsid w:val="00CB3B89"/>
    <w:rsid w:val="00CB69AF"/>
    <w:rsid w:val="00CC05C1"/>
    <w:rsid w:val="00CD54B4"/>
    <w:rsid w:val="00CD7090"/>
    <w:rsid w:val="00CD7C39"/>
    <w:rsid w:val="00CF005D"/>
    <w:rsid w:val="00CF333B"/>
    <w:rsid w:val="00CF40D2"/>
    <w:rsid w:val="00CF588A"/>
    <w:rsid w:val="00CF701D"/>
    <w:rsid w:val="00D00F11"/>
    <w:rsid w:val="00D02ED7"/>
    <w:rsid w:val="00D167AB"/>
    <w:rsid w:val="00D2182F"/>
    <w:rsid w:val="00D226CA"/>
    <w:rsid w:val="00D229C0"/>
    <w:rsid w:val="00D25052"/>
    <w:rsid w:val="00D46854"/>
    <w:rsid w:val="00D50FF1"/>
    <w:rsid w:val="00D52BAF"/>
    <w:rsid w:val="00D57903"/>
    <w:rsid w:val="00D604FA"/>
    <w:rsid w:val="00D606EA"/>
    <w:rsid w:val="00D645B1"/>
    <w:rsid w:val="00D70433"/>
    <w:rsid w:val="00D71797"/>
    <w:rsid w:val="00D72C1E"/>
    <w:rsid w:val="00D73180"/>
    <w:rsid w:val="00D75F5D"/>
    <w:rsid w:val="00D76F79"/>
    <w:rsid w:val="00D947B6"/>
    <w:rsid w:val="00DA10AD"/>
    <w:rsid w:val="00DA18FF"/>
    <w:rsid w:val="00DA20D2"/>
    <w:rsid w:val="00DA2FF4"/>
    <w:rsid w:val="00DB28EE"/>
    <w:rsid w:val="00DB3BA4"/>
    <w:rsid w:val="00DB7E48"/>
    <w:rsid w:val="00DC2506"/>
    <w:rsid w:val="00DC783D"/>
    <w:rsid w:val="00DD5A52"/>
    <w:rsid w:val="00DE14C2"/>
    <w:rsid w:val="00DE35D5"/>
    <w:rsid w:val="00DE779E"/>
    <w:rsid w:val="00DF07FD"/>
    <w:rsid w:val="00DF35D0"/>
    <w:rsid w:val="00DF5D57"/>
    <w:rsid w:val="00E0092F"/>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77C5"/>
    <w:rsid w:val="00EE78BB"/>
    <w:rsid w:val="00EE7F93"/>
    <w:rsid w:val="00EF38EF"/>
    <w:rsid w:val="00EF4121"/>
    <w:rsid w:val="00EF70A2"/>
    <w:rsid w:val="00EF7300"/>
    <w:rsid w:val="00F00808"/>
    <w:rsid w:val="00F053E4"/>
    <w:rsid w:val="00F116E5"/>
    <w:rsid w:val="00F15053"/>
    <w:rsid w:val="00F15EA5"/>
    <w:rsid w:val="00F26A62"/>
    <w:rsid w:val="00F27499"/>
    <w:rsid w:val="00F3016B"/>
    <w:rsid w:val="00F3286D"/>
    <w:rsid w:val="00F379A1"/>
    <w:rsid w:val="00F40BAA"/>
    <w:rsid w:val="00F43E98"/>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0832"/>
  <w15:docId w15:val="{814539EF-F0FF-4887-84C0-A1C5E39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styleId="Nevyeenzmnka">
    <w:name w:val="Unresolved Mention"/>
    <w:basedOn w:val="Standardnpsmoodstavce"/>
    <w:uiPriority w:val="99"/>
    <w:semiHidden/>
    <w:unhideWhenUsed/>
    <w:rsid w:val="0011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 w:id="20025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65AB-89C9-459A-BDD3-8194AF9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2492</Words>
  <Characters>14709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Houbal Roman</cp:lastModifiedBy>
  <cp:revision>43</cp:revision>
  <cp:lastPrinted>2016-11-30T07:15:00Z</cp:lastPrinted>
  <dcterms:created xsi:type="dcterms:W3CDTF">2019-10-15T10:33:00Z</dcterms:created>
  <dcterms:modified xsi:type="dcterms:W3CDTF">2021-12-30T07:03:00Z</dcterms:modified>
</cp:coreProperties>
</file>