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D138B5">
        <w:trPr>
          <w:trHeight w:val="330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D138B5" w:rsidRPr="00D138B5">
              <w:rPr>
                <w:b/>
                <w:sz w:val="22"/>
                <w:szCs w:val="22"/>
              </w:rPr>
              <w:t>Obnova nátěrů zábradlí mostů, nástupišť a přístřešků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616DE" w:rsidP="00D138B5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90351F">
              <w:rPr>
                <w:noProof/>
                <w:sz w:val="22"/>
                <w:szCs w:val="22"/>
              </w:rPr>
              <w:t>2</w:t>
            </w:r>
            <w:r w:rsidR="00D138B5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  <w:bookmarkStart w:id="0" w:name="_GoBack"/>
      <w:bookmarkEnd w:id="0"/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D138B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138B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138B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DCE39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6</cp:revision>
  <cp:lastPrinted>2019-04-08T07:57:00Z</cp:lastPrinted>
  <dcterms:created xsi:type="dcterms:W3CDTF">2021-07-19T06:07:00Z</dcterms:created>
  <dcterms:modified xsi:type="dcterms:W3CDTF">2022-01-19T12:20:00Z</dcterms:modified>
</cp:coreProperties>
</file>