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0EA" w14:textId="72A40E2D" w:rsidR="00783DDC" w:rsidRPr="00783DDC" w:rsidRDefault="00783DDC" w:rsidP="00783DD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8"/>
          <w:szCs w:val="22"/>
        </w:rPr>
      </w:pPr>
      <w:r w:rsidRPr="00783DDC">
        <w:rPr>
          <w:sz w:val="28"/>
          <w:szCs w:val="22"/>
        </w:rPr>
        <w:t xml:space="preserve">Formulář </w:t>
      </w:r>
      <w:r w:rsidR="00241FE2">
        <w:rPr>
          <w:sz w:val="28"/>
          <w:szCs w:val="22"/>
        </w:rPr>
        <w:t>technické specifikace dodávek</w:t>
      </w:r>
    </w:p>
    <w:p w14:paraId="6F037D47" w14:textId="77777777" w:rsidR="00783DDC" w:rsidRPr="00783DDC" w:rsidRDefault="00783DDC" w:rsidP="003353ED">
      <w:pPr>
        <w:pStyle w:val="Nadpis1"/>
        <w:jc w:val="both"/>
        <w:rPr>
          <w:color w:val="000000"/>
          <w:sz w:val="22"/>
          <w:szCs w:val="22"/>
        </w:rPr>
      </w:pPr>
    </w:p>
    <w:p w14:paraId="76F8434D" w14:textId="77777777" w:rsidR="00D70C7B" w:rsidRPr="00D70C7B" w:rsidRDefault="00D70C7B" w:rsidP="00D70C7B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D70C7B">
        <w:rPr>
          <w:rFonts w:ascii="Arial" w:hAnsi="Arial" w:cs="Arial"/>
          <w:b/>
          <w:bCs/>
          <w:color w:val="000000"/>
          <w:sz w:val="28"/>
          <w:szCs w:val="22"/>
        </w:rPr>
        <w:t xml:space="preserve">Počítačový tomograf (CT) </w:t>
      </w:r>
    </w:p>
    <w:p w14:paraId="73E9F8B0" w14:textId="2D3AD4D0" w:rsidR="007D317A" w:rsidRDefault="00D70C7B" w:rsidP="00D70C7B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D70C7B">
        <w:rPr>
          <w:rFonts w:ascii="Arial" w:hAnsi="Arial" w:cs="Arial"/>
          <w:b/>
          <w:bCs/>
          <w:color w:val="000000"/>
          <w:sz w:val="28"/>
          <w:szCs w:val="22"/>
        </w:rPr>
        <w:t>pro Nemocnici s poliklinikou Česká Lípa, a.s.</w:t>
      </w:r>
    </w:p>
    <w:p w14:paraId="71F6675A" w14:textId="74F3C863" w:rsidR="00220EF3" w:rsidRDefault="00220EF3" w:rsidP="00220EF3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475B6E5B" w14:textId="77777777" w:rsidR="00A85629" w:rsidRPr="00783DDC" w:rsidRDefault="00A85629" w:rsidP="00486AB0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061" w:type="dxa"/>
        <w:tblInd w:w="-426" w:type="dxa"/>
        <w:tblLook w:val="04A0" w:firstRow="1" w:lastRow="0" w:firstColumn="1" w:lastColumn="0" w:noHBand="0" w:noVBand="1"/>
      </w:tblPr>
      <w:tblGrid>
        <w:gridCol w:w="3020"/>
        <w:gridCol w:w="6332"/>
        <w:gridCol w:w="709"/>
      </w:tblGrid>
      <w:tr w:rsidR="00486AB0" w14:paraId="6C7364C0" w14:textId="77777777" w:rsidTr="00BF497D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C4A293" w14:textId="0C07CAA9" w:rsidR="00486AB0" w:rsidRPr="00486AB0" w:rsidRDefault="00486AB0" w:rsidP="00486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Počítačový tomograf</w:t>
            </w:r>
          </w:p>
        </w:tc>
        <w:tc>
          <w:tcPr>
            <w:tcW w:w="6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9DA12A" w14:textId="0E16291C" w:rsidR="00486AB0" w:rsidRPr="00486AB0" w:rsidRDefault="00486AB0" w:rsidP="00BF4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                                Počet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3CB834" w14:textId="1A744C7E" w:rsidR="00486AB0" w:rsidRPr="00486AB0" w:rsidRDefault="00486AB0" w:rsidP="00BF497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</w:p>
        </w:tc>
      </w:tr>
    </w:tbl>
    <w:p w14:paraId="70392786" w14:textId="5241DF86" w:rsidR="00141039" w:rsidRDefault="00141039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442906B9" w14:textId="77777777" w:rsidR="00A85629" w:rsidRPr="00783DDC" w:rsidRDefault="00A85629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79415759" w14:textId="7C6ED6B1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Obsahem veřejné zakázky je pořízení počítačového tomografu v rámci projektu </w:t>
      </w:r>
      <w:r w:rsidR="00D70C7B" w:rsidRPr="009D3A0A">
        <w:rPr>
          <w:rFonts w:ascii="Arial" w:hAnsi="Arial" w:cs="Arial"/>
          <w:b/>
          <w:sz w:val="22"/>
          <w:szCs w:val="22"/>
        </w:rPr>
        <w:t xml:space="preserve">s názvem </w:t>
      </w:r>
      <w:bookmarkStart w:id="0" w:name="_Hlk500758875"/>
      <w:bookmarkStart w:id="1" w:name="_Hlk500759041"/>
      <w:r w:rsidR="00D70C7B" w:rsidRPr="009D3A0A">
        <w:rPr>
          <w:rFonts w:ascii="Arial" w:hAnsi="Arial" w:cs="Arial"/>
          <w:b/>
          <w:sz w:val="22"/>
          <w:szCs w:val="22"/>
        </w:rPr>
        <w:t>„</w:t>
      </w:r>
      <w:bookmarkStart w:id="2" w:name="_Hlk95300592"/>
      <w:r w:rsidR="00D70C7B" w:rsidRPr="009D3A0A">
        <w:rPr>
          <w:rFonts w:ascii="Arial" w:hAnsi="Arial" w:cs="Arial"/>
          <w:b/>
          <w:sz w:val="22"/>
          <w:szCs w:val="22"/>
        </w:rPr>
        <w:t>MODERNIZACE NEMOCNICE S POLIKLINIKOU ČESKÁ LÍPA A.S. - URGENTNÍ PŘÍJEM</w:t>
      </w:r>
      <w:bookmarkEnd w:id="2"/>
      <w:r w:rsidR="00D70C7B" w:rsidRPr="009D3A0A">
        <w:rPr>
          <w:rFonts w:ascii="Arial" w:hAnsi="Arial" w:cs="Arial"/>
          <w:b/>
          <w:sz w:val="22"/>
          <w:szCs w:val="22"/>
        </w:rPr>
        <w:t>“</w:t>
      </w:r>
      <w:bookmarkEnd w:id="0"/>
      <w:r w:rsidR="00D70C7B" w:rsidRPr="009D3A0A">
        <w:rPr>
          <w:rFonts w:ascii="Arial" w:hAnsi="Arial" w:cs="Arial"/>
          <w:b/>
          <w:sz w:val="22"/>
          <w:szCs w:val="22"/>
        </w:rPr>
        <w:t xml:space="preserve">, který je podporován z Integrovaného regionálního operačního programu (IROP), </w:t>
      </w:r>
      <w:bookmarkStart w:id="3" w:name="_Hlk500758835"/>
      <w:r w:rsidR="00D70C7B" w:rsidRPr="009D3A0A">
        <w:rPr>
          <w:rFonts w:ascii="Arial" w:hAnsi="Arial" w:cs="Arial"/>
          <w:b/>
          <w:sz w:val="22"/>
          <w:szCs w:val="22"/>
        </w:rPr>
        <w:t xml:space="preserve">v rámci výzvy REACT-EU, číslo výzvy </w:t>
      </w:r>
      <w:bookmarkEnd w:id="3"/>
      <w:r w:rsidR="00D70C7B" w:rsidRPr="009D3A0A">
        <w:rPr>
          <w:rFonts w:ascii="Arial" w:hAnsi="Arial" w:cs="Arial"/>
          <w:b/>
          <w:sz w:val="22"/>
          <w:szCs w:val="22"/>
        </w:rPr>
        <w:t xml:space="preserve">98, registrační číslo projektu </w:t>
      </w:r>
      <w:bookmarkStart w:id="4" w:name="_Hlk95300572"/>
      <w:bookmarkEnd w:id="1"/>
      <w:r w:rsidR="00D70C7B" w:rsidRPr="009D3A0A">
        <w:rPr>
          <w:rFonts w:ascii="Arial" w:hAnsi="Arial" w:cs="Arial"/>
          <w:b/>
          <w:sz w:val="22"/>
          <w:szCs w:val="22"/>
        </w:rPr>
        <w:t>CZ.06.6.127/0.0/0.0/21_121/0016325</w:t>
      </w:r>
      <w:bookmarkEnd w:id="4"/>
      <w:r w:rsidR="00D70C7B" w:rsidRPr="009D3A0A">
        <w:rPr>
          <w:rFonts w:ascii="Arial" w:hAnsi="Arial" w:cs="Arial"/>
          <w:b/>
          <w:sz w:val="22"/>
          <w:szCs w:val="22"/>
        </w:rPr>
        <w:t>.</w:t>
      </w:r>
    </w:p>
    <w:p w14:paraId="5AC0F7FA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7F61B65" w14:textId="77777777" w:rsidR="00622BCE" w:rsidRPr="00E871C2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7785C8E8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0080FE3" w14:textId="407277B2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Číselné parametry mají toleranci </w:t>
      </w:r>
      <w:r w:rsidRPr="00BA0DAB">
        <w:rPr>
          <w:rFonts w:ascii="Arial" w:hAnsi="Arial" w:cs="Arial"/>
          <w:i/>
          <w:sz w:val="22"/>
          <w:szCs w:val="22"/>
        </w:rPr>
        <w:t>±</w:t>
      </w:r>
      <w:r w:rsidRPr="00E871C2">
        <w:rPr>
          <w:rFonts w:ascii="Arial" w:hAnsi="Arial" w:cs="Arial"/>
          <w:noProof/>
          <w:color w:val="000000"/>
          <w:sz w:val="22"/>
          <w:szCs w:val="22"/>
        </w:rPr>
        <w:t>10 %, vždy však uveďte přesnou hodnotu danou Vámi nabízeným zařízením.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bookmarkStart w:id="5" w:name="_Hlk88114999"/>
      <w:r w:rsidRPr="00622BCE">
        <w:rPr>
          <w:rFonts w:ascii="Arial" w:hAnsi="Arial" w:cs="Arial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5"/>
    <w:p w14:paraId="5AE2DC76" w14:textId="16E88088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EBE4394" w14:textId="3690EA36" w:rsidR="00E752B2" w:rsidRPr="00241FE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Parametry </w:t>
      </w:r>
      <w:r w:rsidRPr="00241FE2">
        <w:rPr>
          <w:rFonts w:ascii="Arial" w:hAnsi="Arial" w:cs="Arial"/>
          <w:b/>
          <w:noProof/>
          <w:color w:val="000000" w:themeColor="text1"/>
          <w:sz w:val="22"/>
          <w:szCs w:val="22"/>
        </w:rPr>
        <w:t>typu A jsou parametry maximální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, tedy takové, které musí nabízené zařízení (přístroj) splnit v zadavatelem stanovené maximální hodnotě (horní hranici kritéria), přičemž </w:t>
      </w:r>
      <w:r w:rsidRPr="00241FE2">
        <w:rPr>
          <w:rFonts w:ascii="Arial" w:hAnsi="Arial" w:cs="Arial"/>
          <w:b/>
          <w:noProof/>
          <w:color w:val="000000" w:themeColor="text1"/>
          <w:sz w:val="22"/>
          <w:szCs w:val="22"/>
        </w:rPr>
        <w:t>nabídnutí nižší hodnoty bude zadavatelem bonifikováno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při hodnocení nabídek způsobem uvedeným v čl. </w:t>
      </w:r>
      <w:r w:rsidR="003418E7" w:rsidRPr="00241FE2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ZP (Pravidla pro hodnocení nabídek).</w:t>
      </w:r>
    </w:p>
    <w:p w14:paraId="4E27DF28" w14:textId="77777777" w:rsidR="00E752B2" w:rsidRPr="00241FE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04334D13" w14:textId="232DC249" w:rsidR="00E752B2" w:rsidRPr="00241FE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Parametry </w:t>
      </w:r>
      <w:r w:rsidRPr="00241FE2">
        <w:rPr>
          <w:rFonts w:ascii="Arial" w:hAnsi="Arial" w:cs="Arial"/>
          <w:b/>
          <w:noProof/>
          <w:color w:val="000000" w:themeColor="text1"/>
          <w:sz w:val="22"/>
          <w:szCs w:val="22"/>
        </w:rPr>
        <w:t>typu B jsou parametry minimální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, tedy takové, které musí nabízené zařízení (přístroj) splnit v zadavatelem stanovené minimální hodnotě (spodní hranici kritéria), nicméně </w:t>
      </w:r>
      <w:r w:rsidRPr="00241FE2">
        <w:rPr>
          <w:rFonts w:ascii="Arial" w:hAnsi="Arial" w:cs="Arial"/>
          <w:b/>
          <w:noProof/>
          <w:color w:val="000000" w:themeColor="text1"/>
          <w:sz w:val="22"/>
          <w:szCs w:val="22"/>
        </w:rPr>
        <w:t>nabídnutí vyšší hodnoty bude zadavatelem bonifikováno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při hodnocení nabídek způsobem uvedeným v čl. </w:t>
      </w:r>
      <w:r w:rsidR="003418E7" w:rsidRPr="00241FE2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ZP (Pravidla pro hodnocení nabídek).</w:t>
      </w:r>
    </w:p>
    <w:p w14:paraId="6E2D9811" w14:textId="77777777" w:rsidR="00E752B2" w:rsidRPr="00241FE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3F20903E" w14:textId="213CA531" w:rsidR="00E752B2" w:rsidRPr="00241FE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bookmarkStart w:id="6" w:name="_Hlk500850081"/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Parametry </w:t>
      </w:r>
      <w:r w:rsidRPr="00241FE2">
        <w:rPr>
          <w:rFonts w:ascii="Arial" w:hAnsi="Arial" w:cs="Arial"/>
          <w:b/>
          <w:noProof/>
          <w:color w:val="000000" w:themeColor="text1"/>
          <w:sz w:val="22"/>
          <w:szCs w:val="22"/>
        </w:rPr>
        <w:t>typu C jsou parametry nepovinné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(fakultativní, volitelné), kterými nabízené zařízení disponovat nemusí, nicméně jejich splnění bude zadavatelem bonifikováno při hodnocení nabídek způsobem uvedeným v čl. </w:t>
      </w:r>
      <w:r w:rsidR="003418E7" w:rsidRPr="00241FE2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  <w:r w:rsidRPr="00241FE2">
        <w:rPr>
          <w:rFonts w:ascii="Arial" w:hAnsi="Arial" w:cs="Arial"/>
          <w:noProof/>
          <w:color w:val="000000" w:themeColor="text1"/>
          <w:sz w:val="22"/>
          <w:szCs w:val="22"/>
        </w:rPr>
        <w:t xml:space="preserve"> ZP (Pravidla pro hodnocení nabídek).</w:t>
      </w:r>
    </w:p>
    <w:bookmarkEnd w:id="6"/>
    <w:p w14:paraId="1166FD47" w14:textId="77777777" w:rsidR="00E752B2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279569A" w14:textId="71A4D095" w:rsidR="00622BCE" w:rsidRPr="00E871C2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63FC488E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0785E07" w14:textId="2B391B74" w:rsidR="00622BCE" w:rsidRPr="00E871C2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Zadavatel požaduje všechny součásti vždy nové, nerepasované a schválené do nemocničního provozu.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Současně všechny softwary, které jsou součástí této zakázky musí být výrobce původní a nikoli produktem třetích stran.</w:t>
      </w:r>
    </w:p>
    <w:p w14:paraId="4D5A71E2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5BAE3ADC" w14:textId="78E03B93" w:rsidR="00220EF3" w:rsidRPr="00783DDC" w:rsidRDefault="00220EF3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128"/>
        <w:gridCol w:w="1883"/>
        <w:gridCol w:w="1520"/>
      </w:tblGrid>
      <w:tr w:rsidR="00486AB0" w:rsidRPr="00783DDC" w14:paraId="24CA0D6E" w14:textId="77777777" w:rsidTr="00EE6DB4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FB70" w14:textId="77777777" w:rsidR="00486AB0" w:rsidRPr="00783DDC" w:rsidRDefault="00486AB0" w:rsidP="00783DD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8A5" w14:textId="361BB904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486AB0" w:rsidRPr="00783DDC" w14:paraId="45BA9B0B" w14:textId="77777777" w:rsidTr="00EE6DB4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067B" w14:textId="77777777" w:rsidR="00486AB0" w:rsidRPr="00783DDC" w:rsidRDefault="00486AB0" w:rsidP="00783DD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E81" w14:textId="69602BAA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486AB0" w:rsidRPr="00783DDC" w14:paraId="1E1F907E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AC6F8" w14:textId="77777777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6FE" w14:textId="77777777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208" w14:textId="384F8BAE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Typ parametru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8262" w14:textId="7D545EB4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486AB0" w:rsidRPr="00783DDC" w14:paraId="0B553EF4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6EFAB" w14:textId="383A9373" w:rsidR="00486AB0" w:rsidRPr="00783DDC" w:rsidRDefault="00486AB0" w:rsidP="00783DDC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lastRenderedPageBreak/>
              <w:t>Základní požadavky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 xml:space="preserve"> na CT systém</w:t>
            </w:r>
          </w:p>
        </w:tc>
      </w:tr>
      <w:tr w:rsidR="00486AB0" w:rsidRPr="00783DDC" w14:paraId="42C7A913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3C55F" w14:textId="069DE7E3" w:rsidR="00486AB0" w:rsidRPr="00783DDC" w:rsidRDefault="00486AB0" w:rsidP="00026B0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Detektor</w:t>
            </w:r>
            <w:r w:rsidR="00C20EF4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 xml:space="preserve"> RTG</w:t>
            </w:r>
          </w:p>
        </w:tc>
      </w:tr>
      <w:tr w:rsidR="00486AB0" w:rsidRPr="00783DDC" w14:paraId="0531CB89" w14:textId="77777777" w:rsidTr="00C20E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605CC339" w14:textId="32B09B0C" w:rsidR="00486AB0" w:rsidRPr="00783DDC" w:rsidRDefault="00486AB0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Minimální počet fyzických detektorových řad v ose pacienta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A3E77" w14:textId="41DE985D" w:rsidR="00486AB0" w:rsidRPr="00783DDC" w:rsidRDefault="00486AB0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64 řad</w:t>
            </w:r>
            <w:r w:rsidR="008020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8C47F1" w14:textId="0121E8E0" w:rsidR="00486AB0" w:rsidRPr="00C20EF4" w:rsidRDefault="00C20EF4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FB567D" w14:textId="3A4EE536" w:rsidR="00486AB0" w:rsidRPr="00300E07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86AB0" w:rsidRPr="00783DDC" w14:paraId="2083EA3E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FA9BE3" w14:textId="59A55B4C" w:rsidR="00486AB0" w:rsidRDefault="00486AB0" w:rsidP="00486AB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Celková šíře detektorové matice v ose pacienta (pokrytí v ose Z)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B5996" w14:textId="3B96B4F6" w:rsidR="00486AB0" w:rsidRDefault="00486AB0" w:rsidP="00486AB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Min.38 mm**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CE9" w14:textId="664AAB65" w:rsidR="00486AB0" w:rsidRPr="00486AB0" w:rsidRDefault="00486AB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C52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AEBA" w14:textId="7FBC115E" w:rsidR="00486AB0" w:rsidRPr="00300E07" w:rsidRDefault="00486AB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86AB0" w:rsidRPr="00783DDC" w14:paraId="71A3F5F5" w14:textId="77777777" w:rsidTr="00043C5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7FBE09BC" w14:textId="6655F830" w:rsidR="00486AB0" w:rsidRPr="00A70B79" w:rsidRDefault="00486AB0" w:rsidP="00486AB0">
            <w:pPr>
              <w:spacing w:before="120" w:after="12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Nejmenší dosažitelná šířka jednoho řezu </w:t>
            </w: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ve všech </w:t>
            </w:r>
            <w:r w:rsidR="0095470F" w:rsidRPr="002A3D4D">
              <w:rPr>
                <w:rFonts w:ascii="Arial" w:hAnsi="Arial" w:cs="Arial"/>
                <w:bCs/>
                <w:sz w:val="22"/>
                <w:szCs w:val="22"/>
              </w:rPr>
              <w:t>simultánně</w:t>
            </w: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 získaných datových stopách v ose 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880DC" w14:textId="64400275" w:rsidR="00486AB0" w:rsidRDefault="00486AB0" w:rsidP="00486AB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Max.0,65 mm</w:t>
            </w:r>
            <w:r w:rsidR="008020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B10B75D" w14:textId="5D74E112" w:rsidR="00486AB0" w:rsidRPr="00C20EF4" w:rsidRDefault="00C20EF4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0EF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C452A8" w14:textId="6CF351A9" w:rsidR="00486AB0" w:rsidRPr="00300E07" w:rsidRDefault="00486AB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86AB0" w:rsidRPr="00783DDC" w14:paraId="02C2674E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D7C33" w14:textId="5B5758C7" w:rsidR="00486AB0" w:rsidRPr="00F358C7" w:rsidRDefault="00486AB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Generátor a </w:t>
            </w:r>
            <w:r w:rsidRPr="00F35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RTG lampa</w:t>
            </w:r>
          </w:p>
        </w:tc>
      </w:tr>
      <w:tr w:rsidR="00486AB0" w:rsidRPr="00783DDC" w14:paraId="135FFCFC" w14:textId="77777777" w:rsidTr="006D303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68AE4" w14:textId="6AE2A3A1" w:rsidR="00486AB0" w:rsidRPr="006F7B73" w:rsidRDefault="00486AB0" w:rsidP="008B643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F7B73">
              <w:rPr>
                <w:rFonts w:ascii="Arial" w:hAnsi="Arial" w:cs="Arial"/>
                <w:bCs/>
                <w:sz w:val="22"/>
                <w:szCs w:val="22"/>
              </w:rPr>
              <w:t xml:space="preserve">Výkon generátoru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B459D" w14:textId="7ABC3D39" w:rsidR="00486AB0" w:rsidRPr="006F7B73" w:rsidRDefault="00486AB0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F7B7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Min. </w:t>
            </w:r>
            <w:r w:rsidR="006F7B73" w:rsidRPr="006F7B7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7</w:t>
            </w:r>
            <w:r w:rsidRPr="006F7B7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0 kW</w:t>
            </w:r>
            <w:r w:rsidR="006F7B73" w:rsidRPr="006F7B7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945" w14:textId="201130D6" w:rsidR="00486AB0" w:rsidRPr="006F7B73" w:rsidRDefault="006D303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7B73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A61" w14:textId="723CE7F6" w:rsidR="00486AB0" w:rsidRPr="006F7B73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F7B73" w:rsidRPr="00783DDC" w14:paraId="55E6A635" w14:textId="77777777" w:rsidTr="006D303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888B58" w14:textId="1BB1678A" w:rsidR="006F7B73" w:rsidRPr="006F7B73" w:rsidRDefault="006F7B73" w:rsidP="008B643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F7B73">
              <w:rPr>
                <w:rFonts w:ascii="Arial" w:hAnsi="Arial" w:cs="Arial"/>
                <w:bCs/>
                <w:sz w:val="22"/>
                <w:szCs w:val="22"/>
              </w:rPr>
              <w:t>RTG lampa s dostatečnou reálnou tepelnou kapacitou anody (neuvádět ekvivalenty)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68B34" w14:textId="7E806AEA" w:rsidR="006F7B73" w:rsidRPr="006F7B73" w:rsidRDefault="006F7B73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F7B7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7,5 MHU</w:t>
            </w: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3ABB" w14:textId="6C8EA705" w:rsidR="006F7B73" w:rsidRPr="006F7B73" w:rsidRDefault="009870DD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06E7" w14:textId="259BB1EF" w:rsidR="006F7B73" w:rsidRPr="006F7B73" w:rsidRDefault="006F7B73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86AB0" w:rsidRPr="00783DDC" w14:paraId="3705027B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869279" w14:textId="72F10BD8" w:rsidR="00486AB0" w:rsidRDefault="00486AB0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7" w:name="_Hlk63835981"/>
            <w:r w:rsidRPr="00F358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Rychlost ochlazování anody</w:t>
            </w:r>
            <w:bookmarkEnd w:id="7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E2798" w14:textId="69BE1625" w:rsidR="00486AB0" w:rsidRDefault="00486AB0" w:rsidP="00A85629">
            <w:pPr>
              <w:pStyle w:val="Zhlav"/>
              <w:spacing w:before="120" w:after="120"/>
              <w:ind w:left="-22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bookmarkStart w:id="8" w:name="_Hlk63835994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1</w:t>
            </w:r>
            <w:r w:rsidR="006D303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kHU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/min</w:t>
            </w:r>
            <w:bookmarkEnd w:id="8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**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AF6" w14:textId="3FC3DD88" w:rsidR="00486AB0" w:rsidRPr="00BF497D" w:rsidRDefault="00BF497D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C52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A9C" w14:textId="6105E5D4" w:rsidR="00486AB0" w:rsidRPr="00300E07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497D" w:rsidRPr="00783DDC" w14:paraId="5B349B5C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2E33E" w14:textId="3BF1289A" w:rsidR="00BF497D" w:rsidRPr="00BF497D" w:rsidRDefault="00BF497D" w:rsidP="00BF49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Gantry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 vyšetřovací stůl</w:t>
            </w:r>
          </w:p>
        </w:tc>
      </w:tr>
      <w:tr w:rsidR="00BF497D" w:rsidRPr="00783DDC" w14:paraId="24EA97AA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6520391A" w14:textId="59ACBA8C" w:rsidR="00BF497D" w:rsidRDefault="00BF497D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Průměr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gantry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B8585" w14:textId="71959DA8" w:rsidR="00BF497D" w:rsidRDefault="00BF497D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70 cm</w:t>
            </w:r>
            <w:r w:rsidR="008020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7E0873" w14:textId="4B977B1C" w:rsidR="00BF497D" w:rsidRPr="002412A2" w:rsidRDefault="00063244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12A2">
              <w:rPr>
                <w:rFonts w:ascii="Arial" w:hAnsi="Arial" w:cs="Arial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16E20B" w14:textId="2AA71082" w:rsidR="00BF497D" w:rsidRPr="00300E07" w:rsidRDefault="00BF497D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497D" w:rsidRPr="00783DDC" w14:paraId="0C447E9B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7E7FF6" w14:textId="360ED4DC" w:rsidR="00BF497D" w:rsidRDefault="00EA07FA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Sklápění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gantry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 rozsahu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000A4" w14:textId="775F4DC4" w:rsidR="00BF497D" w:rsidRPr="00EA07FA" w:rsidRDefault="00EA07FA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EA07FA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Pr="00EA07FA">
              <w:rPr>
                <w:rFonts w:ascii="Arial" w:hAnsi="Arial" w:cs="Arial"/>
                <w:sz w:val="22"/>
                <w:szCs w:val="22"/>
              </w:rPr>
              <w:t>±3</w:t>
            </w:r>
            <w:r w:rsidRPr="00EA07FA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0 %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294" w14:textId="46DAE264" w:rsidR="00BF497D" w:rsidRPr="00BF497D" w:rsidRDefault="00EA07FA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379" w14:textId="663104FF" w:rsidR="00BF497D" w:rsidRPr="00300E07" w:rsidRDefault="00BF497D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86AB0" w:rsidRPr="00783DDC" w14:paraId="3960401C" w14:textId="77777777" w:rsidTr="006F7B7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F67F6" w14:textId="089B26BA" w:rsidR="00486AB0" w:rsidRDefault="00EA07FA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Nosnost sto</w:t>
            </w:r>
            <w:r w:rsidR="001C63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 ve všech pozicích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37B7" w14:textId="31C551E8" w:rsidR="00486AB0" w:rsidRDefault="00EA07FA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6D303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="006F7B7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50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928E" w14:textId="48E820EE" w:rsidR="00486AB0" w:rsidRPr="00BF497D" w:rsidRDefault="006F7B73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17D0" w14:textId="01998634" w:rsidR="00486AB0" w:rsidRPr="00300E07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86AB0" w:rsidRPr="00783DDC" w14:paraId="3A8617AC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C85B2E" w14:textId="07F08361" w:rsidR="00486AB0" w:rsidRDefault="002F4CDE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Maximální s</w:t>
            </w:r>
            <w:r w:rsidR="00EA07F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kenovací rozsah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ED471" w14:textId="280B7A9E" w:rsidR="00486AB0" w:rsidRDefault="00EA07FA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1</w:t>
            </w:r>
            <w:r w:rsidR="002F4CDE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70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cm**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106" w14:textId="52B373C1" w:rsidR="00486AB0" w:rsidRPr="00BF497D" w:rsidRDefault="002F4CDE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="00EA07F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FFF" w14:textId="79BE2B04" w:rsidR="00486AB0" w:rsidRPr="00300E07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A07FA" w:rsidRPr="00783DDC" w14:paraId="4D71A4F4" w14:textId="77777777" w:rsidTr="002F4C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FFCD7E" w14:textId="3D26F79F" w:rsidR="00EA07FA" w:rsidRDefault="00EA07FA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Rychlost posunu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0F00" w14:textId="202893EF" w:rsidR="00EA07FA" w:rsidRDefault="00EA07FA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2F4CDE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170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mm/s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DA0" w14:textId="79D3E5C4" w:rsidR="00EA07FA" w:rsidRPr="00BF497D" w:rsidRDefault="002F4CDE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007" w14:textId="0F852627" w:rsidR="00EA07FA" w:rsidRPr="00300E07" w:rsidRDefault="00EA07FA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A07FA" w:rsidRPr="00783DDC" w14:paraId="4F66B4C6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7686A4" w14:textId="6EA7674D" w:rsidR="00EA07FA" w:rsidRPr="002A3D4D" w:rsidRDefault="002F4CDE" w:rsidP="008B643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>Nožní ovládání stolu pro pohyb stolu minimálně nahoru a dolu. Nožní ovládání musí být umístěno</w:t>
            </w:r>
            <w:r w:rsidR="00206C03" w:rsidRPr="002A3D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4B14" w:rsidRPr="002A3D4D">
              <w:rPr>
                <w:rFonts w:ascii="Arial" w:hAnsi="Arial" w:cs="Arial"/>
                <w:bCs/>
                <w:sz w:val="22"/>
                <w:szCs w:val="22"/>
              </w:rPr>
              <w:t>ve spodní části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820AA" w14:textId="54FA3285" w:rsidR="00EA07FA" w:rsidRDefault="001E4B14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090" w14:textId="4711FBF1" w:rsidR="00EA07FA" w:rsidRPr="00BF497D" w:rsidRDefault="001E4B14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71A" w14:textId="02156231" w:rsidR="00EA07FA" w:rsidRPr="00300E07" w:rsidRDefault="00EA07FA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A07FA" w:rsidRPr="00783DDC" w14:paraId="67EF4AC4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1BDEFD" w14:textId="41A73245" w:rsidR="00EA07FA" w:rsidRDefault="001E4B14" w:rsidP="008B643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Manuální vysunutí pacienta na stole v případě neočekávané události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65D4F" w14:textId="490FD7F7" w:rsidR="00EA07FA" w:rsidRDefault="001E4B14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1E3" w14:textId="7FDCEDDA" w:rsidR="00EA07FA" w:rsidRPr="00BF497D" w:rsidRDefault="001E4B14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AC6" w14:textId="096491E0" w:rsidR="00EA07FA" w:rsidRPr="00300E07" w:rsidRDefault="00EA07FA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497D" w:rsidRPr="00783DDC" w14:paraId="16A699F9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41140" w14:textId="65853EF7" w:rsidR="00BF497D" w:rsidRPr="00300E07" w:rsidRDefault="00BF497D" w:rsidP="00BF497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E3E0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Parametry skenování a rekonstrukc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</w:p>
        </w:tc>
      </w:tr>
      <w:tr w:rsidR="00C20EF4" w:rsidRPr="00783DDC" w14:paraId="0911F1CB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2D08AD" w14:textId="1F1F49CA" w:rsidR="00C20EF4" w:rsidRDefault="00C20EF4" w:rsidP="00C20EF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získaných řezů za jednu rotaci (bez posunu stolu)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2C41E" w14:textId="0E5E8894" w:rsidR="00C20EF4" w:rsidRDefault="00C20EF4" w:rsidP="00C20EF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Min. 128 řezů**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9F8" w14:textId="5BAA4019" w:rsidR="00C20EF4" w:rsidRPr="00BF497D" w:rsidRDefault="00C20EF4" w:rsidP="00C20EF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C52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829E" w14:textId="038AA556" w:rsidR="00C20EF4" w:rsidRPr="00C42C03" w:rsidRDefault="00C20EF4" w:rsidP="00C20EF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2EE35489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9C0472" w14:textId="013AC520" w:rsidR="006E7F80" w:rsidRDefault="006E7F80" w:rsidP="006E7F8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Velikost rekonstrukční matice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35DA1" w14:textId="46A91738" w:rsidR="006E7F80" w:rsidRDefault="006E7F80" w:rsidP="006E7F80">
            <w:pPr>
              <w:pStyle w:val="Zhlav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Min. 512 x 512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FFC" w14:textId="5FEC9AD5" w:rsidR="006E7F80" w:rsidRPr="009C520E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7230" w14:textId="78F5780E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041A87FD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536252" w14:textId="7C7B002B" w:rsidR="006E7F80" w:rsidRPr="002A3D4D" w:rsidRDefault="006E7F80" w:rsidP="006E7F8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Vyšetřovací </w:t>
            </w:r>
            <w:proofErr w:type="spellStart"/>
            <w:r w:rsidRPr="002A3D4D">
              <w:rPr>
                <w:rFonts w:ascii="Arial" w:hAnsi="Arial" w:cs="Arial"/>
                <w:bCs/>
                <w:sz w:val="22"/>
                <w:szCs w:val="22"/>
              </w:rPr>
              <w:t>FoV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C98A" w14:textId="54F92A0E" w:rsidR="006E7F80" w:rsidRPr="002A3D4D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50 cm**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A699" w14:textId="16B563B6" w:rsidR="006E7F80" w:rsidRPr="002A3D4D" w:rsidRDefault="002A3D4D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Absolutní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1E5" w14:textId="7C0BAA8B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40C4951B" w14:textId="77777777" w:rsidTr="00DF17A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5600E" w14:textId="736212FB" w:rsidR="006E7F80" w:rsidRDefault="006E7F80" w:rsidP="006E7F8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Nejkratší rotační čas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2E297" w14:textId="33E52D5F" w:rsidR="006E7F80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Max. 0,4 s /otáčku**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EA33" w14:textId="6EC91426" w:rsidR="006E7F80" w:rsidRPr="00BF497D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4BD" w14:textId="669A8144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3CDF31D6" w14:textId="77777777" w:rsidTr="00EE6DB4">
        <w:tc>
          <w:tcPr>
            <w:tcW w:w="4537" w:type="dxa"/>
            <w:tcBorders>
              <w:right w:val="nil"/>
            </w:tcBorders>
          </w:tcPr>
          <w:p w14:paraId="2908B452" w14:textId="65ABB28F" w:rsidR="006E7F80" w:rsidRPr="00EE6DB4" w:rsidRDefault="006E7F80" w:rsidP="006E7F8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DB4">
              <w:rPr>
                <w:rFonts w:ascii="Arial" w:hAnsi="Arial" w:cs="Arial"/>
                <w:sz w:val="22"/>
                <w:szCs w:val="22"/>
              </w:rPr>
              <w:t>Nepřerušená doba skenování</w:t>
            </w: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6FF3" w14:textId="4CF29FF6" w:rsidR="006E7F80" w:rsidRPr="00EE6DB4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EE6DB4">
              <w:rPr>
                <w:rFonts w:ascii="Arial" w:eastAsia="Arial Unicode MS" w:hAnsi="Arial" w:cs="Arial"/>
                <w:sz w:val="22"/>
                <w:szCs w:val="22"/>
              </w:rPr>
              <w:t>min. 100 s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C7B" w14:textId="6B9F6D58" w:rsidR="006E7F80" w:rsidRPr="00BF497D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608" w14:textId="505E07C3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08C9692A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0A79DE" w14:textId="0DCDB2A3" w:rsidR="006E7F80" w:rsidRDefault="006E7F80" w:rsidP="006E7F8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Rozsah nastavitelných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23B0D" w14:textId="65388F44" w:rsidR="006E7F80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Min. 80-135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kV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654" w14:textId="4E727B91" w:rsidR="006E7F80" w:rsidRPr="00BF497D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FDF" w14:textId="425C998F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33D8EAB9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C53268" w14:textId="4D7DA9CA" w:rsidR="006E7F80" w:rsidRDefault="006E7F80" w:rsidP="006E7F8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DB4">
              <w:rPr>
                <w:rFonts w:ascii="Arial" w:hAnsi="Arial" w:cs="Arial"/>
                <w:sz w:val="22"/>
                <w:szCs w:val="22"/>
              </w:rPr>
              <w:t xml:space="preserve">Software pro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utomatické nastavení expozičních parametrů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před skenováním (např. </w:t>
            </w:r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CARE </w:t>
            </w:r>
            <w:proofErr w:type="spellStart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kV</w:t>
            </w:r>
            <w:proofErr w:type="spellEnd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Sure</w:t>
            </w:r>
            <w:proofErr w:type="spellEnd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kV,iPatient</w:t>
            </w:r>
            <w:proofErr w:type="spellEnd"/>
            <w:proofErr w:type="gramEnd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kV</w:t>
            </w:r>
            <w:proofErr w:type="spellEnd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Assist</w:t>
            </w:r>
            <w:proofErr w:type="spellEnd"/>
            <w:r w:rsidRPr="00A703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CDC6" w14:textId="3683FB35" w:rsidR="006E7F80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E07F" w14:textId="27A364B4" w:rsidR="006E7F80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17D" w14:textId="757BD4FE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4695FA25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DBC898" w14:textId="586507D3" w:rsidR="006E7F80" w:rsidRPr="002A3D4D" w:rsidRDefault="006E7F80" w:rsidP="006E7F8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Rozsah nastavitelných mA pro axiální i </w:t>
            </w:r>
            <w:proofErr w:type="spellStart"/>
            <w:r w:rsidRPr="002A3D4D">
              <w:rPr>
                <w:rFonts w:ascii="Arial" w:hAnsi="Arial" w:cs="Arial"/>
                <w:bCs/>
                <w:sz w:val="22"/>
                <w:szCs w:val="22"/>
              </w:rPr>
              <w:t>helikální</w:t>
            </w:r>
            <w:proofErr w:type="spellEnd"/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 sken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B1D39" w14:textId="3E1F5717" w:rsidR="006E7F80" w:rsidRPr="002A3D4D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min. </w:t>
            </w:r>
            <w:proofErr w:type="gramStart"/>
            <w:r w:rsidRPr="002A3D4D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20 - 600</w:t>
            </w:r>
            <w:proofErr w:type="gramEnd"/>
            <w:r w:rsidRPr="002A3D4D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mA**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01C7" w14:textId="3E4AF631" w:rsidR="006E7F80" w:rsidRPr="002A3D4D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2B1" w14:textId="73D6F30B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7F80" w:rsidRPr="00783DDC" w14:paraId="60048B63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7D25F" w14:textId="0BBF527B" w:rsidR="006E7F80" w:rsidRDefault="006E7F80" w:rsidP="006E7F80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0FA6">
              <w:rPr>
                <w:rFonts w:ascii="Arial" w:hAnsi="Arial" w:cs="Arial"/>
                <w:bCs/>
                <w:sz w:val="22"/>
                <w:szCs w:val="22"/>
              </w:rPr>
              <w:t xml:space="preserve">Orgánová modulace mA v průběhu skenování (např. </w:t>
            </w:r>
            <w:r w:rsidR="00460FA6" w:rsidRPr="00460FA6">
              <w:rPr>
                <w:rFonts w:ascii="Arial" w:hAnsi="Arial" w:cs="Arial"/>
                <w:bCs/>
                <w:sz w:val="22"/>
                <w:szCs w:val="22"/>
              </w:rPr>
              <w:t>X-CARE</w:t>
            </w:r>
            <w:r w:rsidR="00460FA6" w:rsidRPr="00EF385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EF385A" w:rsidRPr="00EF385A">
              <w:rPr>
                <w:rFonts w:ascii="Arial" w:hAnsi="Arial" w:cs="Arial"/>
                <w:bCs/>
                <w:sz w:val="22"/>
                <w:szCs w:val="22"/>
              </w:rPr>
              <w:t>ODM</w:t>
            </w:r>
            <w:r w:rsidRPr="00460FA6">
              <w:rPr>
                <w:rFonts w:ascii="Arial" w:hAnsi="Arial" w:cs="Arial"/>
                <w:bCs/>
                <w:sz w:val="22"/>
                <w:szCs w:val="22"/>
              </w:rPr>
              <w:t>, OEM 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E715D" w14:textId="37DFF1A4" w:rsidR="006E7F80" w:rsidRDefault="006E7F80" w:rsidP="006E7F8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104" w14:textId="186B932E" w:rsidR="006E7F80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8AB8" w14:textId="1836D72C" w:rsidR="006E7F80" w:rsidRPr="00C42C03" w:rsidRDefault="006E7F80" w:rsidP="006E7F8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75A56FD9" w14:textId="77777777" w:rsidTr="00EA43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C827D" w14:textId="66C0AF1E" w:rsidR="005B7BB4" w:rsidRPr="002A3D4D" w:rsidRDefault="005B7BB4" w:rsidP="005B7BB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>Iterativní rekonstrukce nejvyšší generace v prostoru RAW dat typu Model-</w:t>
            </w:r>
            <w:proofErr w:type="spellStart"/>
            <w:r w:rsidRPr="002A3D4D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2A3D4D">
              <w:rPr>
                <w:rFonts w:ascii="Arial" w:hAnsi="Arial" w:cs="Arial"/>
                <w:sz w:val="22"/>
                <w:szCs w:val="22"/>
              </w:rPr>
              <w:t xml:space="preserve"> (MBIR) v poslední dostupné </w:t>
            </w:r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verzi (ADMIRE, </w:t>
            </w:r>
            <w:proofErr w:type="spellStart"/>
            <w:r w:rsidR="000D3224" w:rsidRPr="002A3D4D">
              <w:rPr>
                <w:rFonts w:ascii="Arial" w:hAnsi="Arial" w:cs="Arial"/>
                <w:i/>
                <w:iCs/>
                <w:sz w:val="22"/>
                <w:szCs w:val="22"/>
              </w:rPr>
              <w:t>iDOSE</w:t>
            </w:r>
            <w:proofErr w:type="spellEnd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AIDR </w:t>
            </w:r>
            <w:proofErr w:type="gramStart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>3D</w:t>
            </w:r>
            <w:proofErr w:type="gramEnd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>Enhanced</w:t>
            </w:r>
            <w:proofErr w:type="spellEnd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>ASiR</w:t>
            </w:r>
            <w:proofErr w:type="spellEnd"/>
            <w:r w:rsidRPr="002A3D4D">
              <w:rPr>
                <w:rFonts w:ascii="Arial" w:hAnsi="Arial" w:cs="Arial"/>
                <w:i/>
                <w:iCs/>
                <w:sz w:val="22"/>
                <w:szCs w:val="22"/>
              </w:rPr>
              <w:t>-V)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6D82A" w14:textId="6D7E76E6" w:rsidR="005B7BB4" w:rsidRPr="002A3D4D" w:rsidRDefault="005B7BB4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C88" w14:textId="27A439E3" w:rsidR="005B7BB4" w:rsidRPr="002A3D4D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F30" w14:textId="0AE9754D" w:rsidR="005B7BB4" w:rsidRPr="00C42C03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41A72D7B" w14:textId="77777777" w:rsidTr="0067508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86B8C" w14:textId="65B52900" w:rsidR="005B7BB4" w:rsidRPr="00A70353" w:rsidRDefault="005B7BB4" w:rsidP="005B7BB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F17A6">
              <w:rPr>
                <w:rFonts w:ascii="Arial" w:hAnsi="Arial" w:cs="Arial"/>
                <w:sz w:val="22"/>
                <w:szCs w:val="22"/>
              </w:rPr>
              <w:t>Rychlost rekonstrukce řezů při využití iterativní rekonstrukce</w:t>
            </w:r>
            <w:r>
              <w:rPr>
                <w:rFonts w:ascii="Arial" w:hAnsi="Arial" w:cs="Arial"/>
                <w:sz w:val="22"/>
                <w:szCs w:val="22"/>
              </w:rPr>
              <w:t xml:space="preserve"> nejvyšší regenerace v matrici 512 x 512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DC28" w14:textId="1ADEB7E7" w:rsidR="005B7BB4" w:rsidRDefault="005B7BB4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DF17A6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40 snímků / sekundu**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E5F0" w14:textId="6D41E0D9" w:rsidR="005B7BB4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83E" w14:textId="3945B4EF" w:rsidR="005B7BB4" w:rsidRPr="00C42C03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2A40106D" w14:textId="77777777" w:rsidTr="00EE6DB4">
        <w:trPr>
          <w:trHeight w:val="11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7B41C" w14:textId="7F851475" w:rsidR="005B7BB4" w:rsidRPr="006A1BA5" w:rsidRDefault="005B7BB4" w:rsidP="005B7BB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A1BA5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6A1BA5">
              <w:rPr>
                <w:rFonts w:ascii="Arial" w:hAnsi="Arial" w:cs="Arial"/>
                <w:sz w:val="22"/>
                <w:szCs w:val="22"/>
              </w:rPr>
              <w:t xml:space="preserve"> automatická optimalizace mA v průběhu skenování (např.: CARE Dose4D, 3D mA </w:t>
            </w:r>
            <w:proofErr w:type="spellStart"/>
            <w:r w:rsidRPr="006A1BA5">
              <w:rPr>
                <w:rFonts w:ascii="Arial" w:hAnsi="Arial" w:cs="Arial"/>
                <w:sz w:val="22"/>
                <w:szCs w:val="22"/>
              </w:rPr>
              <w:t>Modulation</w:t>
            </w:r>
            <w:proofErr w:type="spellEnd"/>
            <w:r w:rsidRPr="006A1BA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A1BA5">
              <w:rPr>
                <w:rFonts w:ascii="Arial" w:hAnsi="Arial" w:cs="Arial"/>
                <w:sz w:val="22"/>
                <w:szCs w:val="22"/>
              </w:rPr>
              <w:t>SUREExposure</w:t>
            </w:r>
            <w:proofErr w:type="spellEnd"/>
            <w:r w:rsidRPr="006A1BA5">
              <w:rPr>
                <w:rFonts w:ascii="Arial" w:hAnsi="Arial" w:cs="Arial"/>
                <w:sz w:val="22"/>
                <w:szCs w:val="22"/>
              </w:rPr>
              <w:t xml:space="preserve"> 3D 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57CE6" w14:textId="403CF0E4" w:rsidR="005B7BB4" w:rsidRPr="006A1BA5" w:rsidRDefault="005B7BB4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A1BA5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E98" w14:textId="63338495" w:rsidR="005B7BB4" w:rsidRPr="006A1BA5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1BA5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B4C" w14:textId="423B03E0" w:rsidR="005B7BB4" w:rsidRPr="00C42C03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6951" w:rsidRPr="00783DDC" w14:paraId="04E7F019" w14:textId="77777777" w:rsidTr="00EE6DB4">
        <w:trPr>
          <w:trHeight w:val="11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966D0" w14:textId="6D04A283" w:rsidR="006E6951" w:rsidRPr="006E6951" w:rsidRDefault="006E6951" w:rsidP="005B7BB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6951">
              <w:rPr>
                <w:rFonts w:ascii="Arial" w:hAnsi="Arial" w:cs="Arial"/>
                <w:sz w:val="22"/>
                <w:szCs w:val="22"/>
              </w:rPr>
              <w:t xml:space="preserve">SW pro odstranění metalických artefaktů (např.: O-MAR, </w:t>
            </w:r>
            <w:proofErr w:type="spellStart"/>
            <w:r w:rsidRPr="006E6951">
              <w:rPr>
                <w:rFonts w:ascii="Arial" w:hAnsi="Arial" w:cs="Arial"/>
                <w:sz w:val="22"/>
                <w:szCs w:val="22"/>
              </w:rPr>
              <w:t>iMAR</w:t>
            </w:r>
            <w:proofErr w:type="spellEnd"/>
            <w:r w:rsidRPr="006E6951">
              <w:rPr>
                <w:rFonts w:ascii="Arial" w:hAnsi="Arial" w:cs="Arial"/>
                <w:sz w:val="22"/>
                <w:szCs w:val="22"/>
              </w:rPr>
              <w:t xml:space="preserve">, SEMAR, </w:t>
            </w:r>
            <w:proofErr w:type="spellStart"/>
            <w:r w:rsidRPr="006E6951">
              <w:rPr>
                <w:rFonts w:ascii="Arial" w:hAnsi="Arial" w:cs="Arial"/>
                <w:sz w:val="22"/>
                <w:szCs w:val="22"/>
              </w:rPr>
              <w:t>SmartMAR</w:t>
            </w:r>
            <w:proofErr w:type="spellEnd"/>
            <w:r w:rsidRPr="006E6951">
              <w:rPr>
                <w:rFonts w:ascii="Arial" w:hAnsi="Arial" w:cs="Arial"/>
                <w:sz w:val="22"/>
                <w:szCs w:val="22"/>
              </w:rPr>
              <w:t xml:space="preserve"> 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FFFF" w14:textId="5547BB84" w:rsidR="006E6951" w:rsidRPr="006E6951" w:rsidRDefault="006E6951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E695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995" w14:textId="2FA53658" w:rsidR="006E6951" w:rsidRPr="006E6951" w:rsidRDefault="006E6951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E6951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210" w14:textId="6D10740D" w:rsidR="006E6951" w:rsidRPr="00C42C03" w:rsidRDefault="006E6951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65B0400A" w14:textId="77777777" w:rsidTr="00E4122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15A45872" w14:textId="144CA24B" w:rsidR="005B7BB4" w:rsidRDefault="00E4122E" w:rsidP="005B7BB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4122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Deep</w:t>
            </w:r>
            <w:proofErr w:type="spellEnd"/>
            <w:r w:rsidRPr="00E4122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learning </w:t>
            </w:r>
            <w:proofErr w:type="spellStart"/>
            <w:r w:rsidRPr="00E4122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reconstruction</w:t>
            </w:r>
            <w:proofErr w:type="spellEnd"/>
            <w:r w:rsidRPr="00E4122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rekonstrukce obrazu pomocí AI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1D558" w14:textId="6D04EA81" w:rsidR="005B7BB4" w:rsidRDefault="00E4122E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AA2962" w14:textId="70A542AF" w:rsidR="005B7BB4" w:rsidRPr="002412A2" w:rsidRDefault="00E4122E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12A2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C27931" w14:textId="2B410219" w:rsidR="005B7BB4" w:rsidRPr="00C42C03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22FF35F2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2A420" w14:textId="3513C942" w:rsidR="005B7BB4" w:rsidRPr="003E3E0B" w:rsidRDefault="005B7BB4" w:rsidP="005B7BB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Rozlišení CT systému</w:t>
            </w:r>
          </w:p>
        </w:tc>
      </w:tr>
      <w:tr w:rsidR="005B7BB4" w:rsidRPr="00783DDC" w14:paraId="7C531E41" w14:textId="77777777" w:rsidTr="00EE6DB4">
        <w:tc>
          <w:tcPr>
            <w:tcW w:w="4537" w:type="dxa"/>
            <w:tcBorders>
              <w:right w:val="nil"/>
            </w:tcBorders>
          </w:tcPr>
          <w:p w14:paraId="316D8D26" w14:textId="1F2F4604" w:rsidR="005B7BB4" w:rsidRPr="00A70B79" w:rsidRDefault="005B7BB4" w:rsidP="005B7BB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70B79">
              <w:rPr>
                <w:rFonts w:ascii="Arial" w:hAnsi="Arial" w:cs="Arial"/>
                <w:sz w:val="22"/>
                <w:szCs w:val="22"/>
              </w:rPr>
              <w:t>Vysoko kontrastní prostorové rozlišení v </w:t>
            </w:r>
            <w:proofErr w:type="gramStart"/>
            <w:r w:rsidRPr="00A70B79">
              <w:rPr>
                <w:rFonts w:ascii="Arial" w:hAnsi="Arial" w:cs="Arial"/>
                <w:sz w:val="22"/>
                <w:szCs w:val="22"/>
              </w:rPr>
              <w:t>rovině  X</w:t>
            </w:r>
            <w:proofErr w:type="gramEnd"/>
            <w:r w:rsidRPr="00A70B79">
              <w:rPr>
                <w:rFonts w:ascii="Arial" w:hAnsi="Arial" w:cs="Arial"/>
                <w:sz w:val="22"/>
                <w:szCs w:val="22"/>
              </w:rPr>
              <w:t xml:space="preserve">/Y při 2% či vyšší MTF </w:t>
            </w: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CAF83" w14:textId="5ED5AD91" w:rsidR="005B7BB4" w:rsidRPr="00A70B79" w:rsidRDefault="005B7BB4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70B79">
              <w:rPr>
                <w:rFonts w:ascii="Arial" w:eastAsia="Arial Unicode MS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="00E4122E"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A70B7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A70B79">
              <w:rPr>
                <w:rFonts w:ascii="Arial" w:eastAsia="Arial Unicode MS" w:hAnsi="Arial" w:cs="Arial"/>
                <w:sz w:val="22"/>
                <w:szCs w:val="22"/>
              </w:rPr>
              <w:t>lp</w:t>
            </w:r>
            <w:proofErr w:type="spellEnd"/>
            <w:r w:rsidRPr="00A70B79">
              <w:rPr>
                <w:rFonts w:ascii="Arial" w:eastAsia="Arial Unicode MS" w:hAnsi="Arial" w:cs="Arial"/>
                <w:sz w:val="22"/>
                <w:szCs w:val="22"/>
              </w:rPr>
              <w:t>/cm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1883" w:type="dxa"/>
            <w:vAlign w:val="center"/>
          </w:tcPr>
          <w:p w14:paraId="2E8C55CD" w14:textId="44894493" w:rsidR="005B7BB4" w:rsidRPr="00BF497D" w:rsidRDefault="00E4122E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2416" w14:textId="3BBD0B99" w:rsidR="005B7BB4" w:rsidRPr="00300E07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7BB4" w:rsidRPr="00783DDC" w14:paraId="3BDBA8AB" w14:textId="77777777" w:rsidTr="00EE6DB4">
        <w:tc>
          <w:tcPr>
            <w:tcW w:w="4537" w:type="dxa"/>
            <w:tcBorders>
              <w:right w:val="nil"/>
            </w:tcBorders>
            <w:shd w:val="clear" w:color="auto" w:fill="B4C6E7" w:themeFill="accent1" w:themeFillTint="66"/>
          </w:tcPr>
          <w:p w14:paraId="36AE37A3" w14:textId="3CE1538F" w:rsidR="005B7BB4" w:rsidRPr="00A70B79" w:rsidRDefault="005B7BB4" w:rsidP="005B7BB4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A70B79">
              <w:rPr>
                <w:rFonts w:ascii="Arial" w:hAnsi="Arial" w:cs="Arial"/>
                <w:sz w:val="22"/>
                <w:szCs w:val="22"/>
              </w:rPr>
              <w:t>CTDI</w:t>
            </w:r>
            <w:r w:rsidRPr="00A70B79">
              <w:rPr>
                <w:rFonts w:ascii="Arial" w:hAnsi="Arial" w:cs="Arial"/>
                <w:sz w:val="22"/>
                <w:szCs w:val="22"/>
                <w:vertAlign w:val="subscript"/>
              </w:rPr>
              <w:t>vol</w:t>
            </w:r>
            <w:proofErr w:type="spellEnd"/>
            <w:r w:rsidRPr="00A70B79">
              <w:rPr>
                <w:rFonts w:ascii="Arial" w:hAnsi="Arial" w:cs="Arial"/>
                <w:sz w:val="22"/>
                <w:szCs w:val="22"/>
              </w:rPr>
              <w:t xml:space="preserve"> při rozlišení objektu 5 mm s kontrastním rozdílem 3 HU (CATHPAN 20 cm, řez 10 mm, 120 </w:t>
            </w:r>
            <w:proofErr w:type="spellStart"/>
            <w:r w:rsidRPr="00A70B7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  <w:r w:rsidRPr="00A70B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8" w:type="dxa"/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92B93" w14:textId="6DBD81B4" w:rsidR="005B7BB4" w:rsidRPr="00A70B79" w:rsidRDefault="005B7BB4" w:rsidP="005B7BB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70B79">
              <w:rPr>
                <w:rFonts w:ascii="Arial" w:eastAsia="Arial Unicode MS" w:hAnsi="Arial" w:cs="Arial"/>
                <w:sz w:val="22"/>
                <w:szCs w:val="22"/>
              </w:rPr>
              <w:t xml:space="preserve">max. </w:t>
            </w:r>
            <w:r w:rsidR="000D3224">
              <w:rPr>
                <w:rFonts w:ascii="Arial" w:eastAsia="Arial Unicode MS" w:hAnsi="Arial" w:cs="Arial"/>
                <w:sz w:val="22"/>
                <w:szCs w:val="22"/>
              </w:rPr>
              <w:t>10</w:t>
            </w:r>
            <w:r w:rsidRPr="00A70B7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A70B79">
              <w:rPr>
                <w:rFonts w:ascii="Arial" w:eastAsia="Arial Unicode MS" w:hAnsi="Arial" w:cs="Arial"/>
                <w:sz w:val="22"/>
                <w:szCs w:val="22"/>
              </w:rPr>
              <w:t>mGy</w:t>
            </w:r>
            <w:proofErr w:type="spellEnd"/>
          </w:p>
        </w:tc>
        <w:tc>
          <w:tcPr>
            <w:tcW w:w="1883" w:type="dxa"/>
            <w:shd w:val="clear" w:color="auto" w:fill="B4C6E7" w:themeFill="accent1" w:themeFillTint="66"/>
            <w:vAlign w:val="center"/>
          </w:tcPr>
          <w:p w14:paraId="7FD40069" w14:textId="1261B906" w:rsidR="005B7BB4" w:rsidRPr="002412A2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12A2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298B8F" w14:textId="5E72C406" w:rsidR="005B7BB4" w:rsidRPr="00300E07" w:rsidRDefault="005B7BB4" w:rsidP="005B7BB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7BB4" w:rsidRPr="00783DDC" w14:paraId="14CA213D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EBDEAC" w14:textId="5871902B" w:rsidR="005B7BB4" w:rsidRPr="00E752B2" w:rsidRDefault="005B7BB4" w:rsidP="005B7BB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52B2">
              <w:rPr>
                <w:rFonts w:ascii="Arial" w:hAnsi="Arial" w:cs="Arial"/>
                <w:b/>
                <w:sz w:val="22"/>
                <w:szCs w:val="22"/>
              </w:rPr>
              <w:t>Požadavky na prováděná vyšetření a software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(akviziční konzole)</w:t>
            </w:r>
          </w:p>
        </w:tc>
      </w:tr>
      <w:tr w:rsidR="00FE18F2" w:rsidRPr="00783DDC" w14:paraId="66A2ADCE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9CFD8" w14:textId="07A9B92E" w:rsidR="00FE18F2" w:rsidRPr="006B3BEE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6B3BEE">
              <w:rPr>
                <w:rFonts w:ascii="Arial" w:hAnsi="Arial" w:cs="Arial"/>
                <w:sz w:val="22"/>
                <w:szCs w:val="22"/>
              </w:rPr>
              <w:t xml:space="preserve">arevný medicínský LCD monitor o velikosti min. </w:t>
            </w:r>
            <w:r w:rsidRPr="00904021">
              <w:rPr>
                <w:rFonts w:ascii="Arial" w:hAnsi="Arial" w:cs="Arial"/>
                <w:sz w:val="22"/>
                <w:szCs w:val="22"/>
              </w:rPr>
              <w:t>19"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4B2A" w14:textId="6AE4639B" w:rsidR="00FE18F2" w:rsidRPr="006B3BEE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E98" w14:textId="764C3AE9" w:rsidR="00FE18F2" w:rsidRDefault="00FE18F2" w:rsidP="00FE18F2">
            <w:pPr>
              <w:jc w:val="center"/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EDA" w14:textId="72FC68E1" w:rsidR="00FE18F2" w:rsidRPr="00C42C03" w:rsidRDefault="00FE18F2" w:rsidP="00C42C0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18F2" w:rsidRPr="00783DDC" w14:paraId="10D1B0B4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2A529" w14:textId="56CE18C9" w:rsidR="00FE18F2" w:rsidRPr="006B3BEE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Úložná kapacita pro obrazová data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C9E5" w14:textId="7DF1B9D3" w:rsidR="00FE18F2" w:rsidRPr="002A3D4D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>min. 300 GB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73F" w14:textId="06112D30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247" w14:textId="58506BC9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D36239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493E0" w14:textId="114283AF" w:rsidR="00FE18F2" w:rsidRPr="006B3BEE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Úložná kapacita pro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raw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9D1D7" w14:textId="7A1700AF" w:rsidR="00FE18F2" w:rsidRPr="002A3D4D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>min. 500 GB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575" w14:textId="69D76D1A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A4D" w14:textId="2043D52A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0ED92ED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A697C" w14:textId="7B84E184" w:rsidR="00FE18F2" w:rsidRPr="006B3BEE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Archivační jednotka pro záznam dat na CD nebo DVD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4021">
              <w:rPr>
                <w:rFonts w:ascii="Arial" w:hAnsi="Arial" w:cs="Arial"/>
                <w:color w:val="000000"/>
                <w:sz w:val="22"/>
                <w:szCs w:val="22"/>
              </w:rPr>
              <w:t>přímo z akviziční konzole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DB2FA" w14:textId="43749787" w:rsidR="00FE18F2" w:rsidRPr="006B3BEE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79E" w14:textId="661ECEF0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98B" w14:textId="6555693F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6550EFA0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074C1" w14:textId="379D4F18" w:rsidR="00FE18F2" w:rsidRPr="00904021" w:rsidRDefault="00FE18F2" w:rsidP="00FE18F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84DF2">
              <w:rPr>
                <w:rFonts w:ascii="Arial" w:hAnsi="Arial" w:cs="Arial"/>
                <w:sz w:val="22"/>
                <w:szCs w:val="22"/>
              </w:rPr>
              <w:lastRenderedPageBreak/>
              <w:t xml:space="preserve">DICOM služby v rozsahu: 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Store</w:t>
            </w:r>
            <w:proofErr w:type="spellEnd"/>
            <w:r w:rsidRPr="00D84D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Storage</w:t>
            </w:r>
            <w:proofErr w:type="spellEnd"/>
            <w:r w:rsidRPr="00D84D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Commitment</w:t>
            </w:r>
            <w:proofErr w:type="spellEnd"/>
            <w:r w:rsidRPr="00D84D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Query</w:t>
            </w:r>
            <w:proofErr w:type="spellEnd"/>
            <w:r w:rsidRPr="00D84DF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Retrieve</w:t>
            </w:r>
            <w:proofErr w:type="spellEnd"/>
            <w:r w:rsidRPr="00D84DF2">
              <w:rPr>
                <w:rFonts w:ascii="Arial" w:hAnsi="Arial" w:cs="Arial"/>
                <w:sz w:val="22"/>
                <w:szCs w:val="22"/>
              </w:rPr>
              <w:t xml:space="preserve">, Modality </w:t>
            </w:r>
            <w:proofErr w:type="spellStart"/>
            <w:r w:rsidRPr="00D84DF2">
              <w:rPr>
                <w:rFonts w:ascii="Arial" w:hAnsi="Arial" w:cs="Arial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FEC8" w14:textId="0F8181B0" w:rsidR="00FE18F2" w:rsidRPr="00D84DF2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4DF2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370" w14:textId="5CC73EAA" w:rsidR="00FE18F2" w:rsidRPr="00D84DF2" w:rsidRDefault="00FE18F2" w:rsidP="00FE18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EED" w14:textId="18B3908C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695C86D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2FB78" w14:textId="7658E386" w:rsidR="00FE18F2" w:rsidRPr="002A3D4D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 xml:space="preserve">Kompletní napojení na stávající PACS systém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2D46" w14:textId="4B1D7A6C" w:rsidR="00FE18F2" w:rsidRPr="002A3D4D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183" w14:textId="62BBF265" w:rsidR="00FE18F2" w:rsidRPr="00904021" w:rsidRDefault="00FE18F2" w:rsidP="00FE18F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656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970" w14:textId="77777777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36C4A8BD" w14:textId="77777777" w:rsidTr="006B3BEE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A18C2" w14:textId="6140BA02" w:rsidR="005B7BB4" w:rsidRPr="006B3BEE" w:rsidRDefault="005B7BB4" w:rsidP="005B7B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Softwarové vybavení</w:t>
            </w:r>
          </w:p>
        </w:tc>
      </w:tr>
      <w:tr w:rsidR="00043C55" w:rsidRPr="00783DDC" w14:paraId="50907ED8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00BDA9" w14:textId="72851CAD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904021">
              <w:rPr>
                <w:rFonts w:ascii="Arial" w:hAnsi="Arial" w:cs="Arial"/>
                <w:color w:val="000000"/>
                <w:sz w:val="22"/>
                <w:szCs w:val="22"/>
              </w:rPr>
              <w:t>oftware pro přípravu a řízení akvizice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D9C2" w14:textId="4F41311A" w:rsidR="00043C55" w:rsidRPr="00783DDC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7F0" w14:textId="1764264D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764" w14:textId="77FA37CB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0A2EFAD5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87F4FC" w14:textId="4D11D5D1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DF2">
              <w:rPr>
                <w:rFonts w:ascii="Arial" w:hAnsi="Arial" w:cs="Arial"/>
                <w:color w:val="000000"/>
                <w:sz w:val="22"/>
                <w:szCs w:val="22"/>
              </w:rPr>
              <w:t>SW pro automatické odstraněním skeletu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E1E06" w14:textId="6910BB1C" w:rsidR="00043C55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1AE" w14:textId="3311B34E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BE37" w14:textId="553B6839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7FABFB5C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5F044D" w14:textId="656EC111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edukce artefaktů způsobených ortopedickými implantáty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4E407" w14:textId="4104297C" w:rsidR="00043C55" w:rsidRPr="00783DDC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B3F" w14:textId="49188509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327" w14:textId="7C948B6C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6B605CF2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026DC6" w14:textId="335A1372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Software pro časování </w:t>
            </w:r>
            <w:r w:rsidR="007A281C">
              <w:rPr>
                <w:rFonts w:ascii="Arial" w:hAnsi="Arial" w:cs="Arial"/>
                <w:color w:val="000000"/>
                <w:sz w:val="22"/>
                <w:szCs w:val="22"/>
              </w:rPr>
              <w:t>vstřiku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kontrastní látky a určení prahové hodnoty pro automatický start akvizice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A0106" w14:textId="42C7768E" w:rsidR="00043C55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1094" w14:textId="4650BFEB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FF5" w14:textId="631A27C0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6282C52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B3A68C" w14:textId="15EE2B05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 xml:space="preserve">Automatická tvorba sérií </w:t>
            </w:r>
            <w:proofErr w:type="spellStart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thick</w:t>
            </w:r>
            <w:proofErr w:type="spellEnd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 xml:space="preserve"> MPR (</w:t>
            </w:r>
            <w:proofErr w:type="spellStart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multiplanární</w:t>
            </w:r>
            <w:proofErr w:type="spellEnd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rekonstrukce) dle orgánových programů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92A1E" w14:textId="4C8DCC60" w:rsidR="00043C55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1E5" w14:textId="7223A5A8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599" w14:textId="7D73D0CE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05A717EC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690610" w14:textId="58D79979" w:rsidR="00043C55" w:rsidRPr="002A3D4D" w:rsidRDefault="00043C55" w:rsidP="00043C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>Dedikované vyšetřovací protokoly pro vyšetření dětí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A7F68" w14:textId="200779DB" w:rsidR="00043C55" w:rsidRPr="002A3D4D" w:rsidRDefault="00043C55" w:rsidP="00043C55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4D">
              <w:rPr>
                <w:rFonts w:ascii="Arial" w:hAnsi="Arial" w:cs="Arial"/>
                <w:bCs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2B1" w14:textId="2A6D2C9F" w:rsidR="00043C55" w:rsidRPr="009F7397" w:rsidRDefault="00043C55" w:rsidP="00043C5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459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816" w14:textId="77777777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60D9002A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2D3DBB" w14:textId="5445A06D" w:rsidR="00FE18F2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Základní obrazové zpracování: </w:t>
            </w:r>
            <w:r w:rsidRPr="005928C0">
              <w:rPr>
                <w:rFonts w:ascii="Arial" w:hAnsi="Arial" w:cs="Arial"/>
                <w:color w:val="000000"/>
                <w:sz w:val="22"/>
                <w:szCs w:val="22"/>
              </w:rPr>
              <w:t xml:space="preserve">MIP, </w:t>
            </w:r>
            <w:proofErr w:type="spellStart"/>
            <w:r w:rsidRPr="005928C0">
              <w:rPr>
                <w:rFonts w:ascii="Arial" w:hAnsi="Arial" w:cs="Arial"/>
                <w:color w:val="000000"/>
                <w:sz w:val="22"/>
                <w:szCs w:val="22"/>
              </w:rPr>
              <w:t>MinIP</w:t>
            </w:r>
            <w:proofErr w:type="spellEnd"/>
            <w:r w:rsidRPr="005928C0">
              <w:rPr>
                <w:rFonts w:ascii="Arial" w:hAnsi="Arial" w:cs="Arial"/>
                <w:color w:val="000000"/>
                <w:sz w:val="22"/>
                <w:szCs w:val="22"/>
              </w:rPr>
              <w:t>, MPR,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5928C0">
              <w:rPr>
                <w:rFonts w:ascii="Arial" w:hAnsi="Arial" w:cs="Arial"/>
                <w:color w:val="000000"/>
                <w:sz w:val="22"/>
                <w:szCs w:val="22"/>
              </w:rPr>
              <w:t xml:space="preserve"> 3D-VRT, 3D-SSD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4D)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5EE78" w14:textId="2D837E13" w:rsidR="00FE18F2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2FF" w14:textId="122A59E5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E3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6ECA" w14:textId="5F1E69CB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07CC2D1C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C2CE4D" w14:textId="73D738E5" w:rsidR="00FE18F2" w:rsidRPr="000D3224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D3224">
              <w:rPr>
                <w:rFonts w:ascii="Arial" w:hAnsi="Arial" w:cs="Arial"/>
                <w:sz w:val="22"/>
                <w:szCs w:val="22"/>
              </w:rPr>
              <w:t xml:space="preserve">NEMA XR 25 / Dose </w:t>
            </w:r>
            <w:proofErr w:type="spellStart"/>
            <w:r w:rsidRPr="000D3224">
              <w:rPr>
                <w:rFonts w:ascii="Arial" w:hAnsi="Arial" w:cs="Arial"/>
                <w:sz w:val="22"/>
                <w:szCs w:val="22"/>
              </w:rPr>
              <w:t>check</w:t>
            </w:r>
            <w:proofErr w:type="spellEnd"/>
            <w:r w:rsidRPr="000D3224">
              <w:rPr>
                <w:rFonts w:ascii="Arial" w:hAnsi="Arial" w:cs="Arial"/>
                <w:sz w:val="22"/>
                <w:szCs w:val="22"/>
              </w:rPr>
              <w:t xml:space="preserve">, NEMA XR 26/ </w:t>
            </w:r>
            <w:proofErr w:type="spellStart"/>
            <w:r w:rsidRPr="000D3224">
              <w:rPr>
                <w:rFonts w:ascii="Arial" w:hAnsi="Arial" w:cs="Arial"/>
                <w:sz w:val="22"/>
                <w:szCs w:val="22"/>
              </w:rPr>
              <w:t>Accesss</w:t>
            </w:r>
            <w:proofErr w:type="spellEnd"/>
            <w:r w:rsidRPr="000D322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24">
              <w:rPr>
                <w:rFonts w:ascii="Arial" w:hAnsi="Arial" w:cs="Arial"/>
                <w:sz w:val="22"/>
                <w:szCs w:val="22"/>
              </w:rPr>
              <w:t>control</w:t>
            </w:r>
            <w:proofErr w:type="spellEnd"/>
            <w:r w:rsidRPr="000D3224">
              <w:rPr>
                <w:rFonts w:ascii="Arial" w:hAnsi="Arial" w:cs="Arial"/>
                <w:sz w:val="22"/>
                <w:szCs w:val="22"/>
              </w:rPr>
              <w:t xml:space="preserve">, NEMA XR 29/ Dose </w:t>
            </w:r>
            <w:proofErr w:type="spellStart"/>
            <w:r w:rsidRPr="000D3224">
              <w:rPr>
                <w:rFonts w:ascii="Arial" w:hAnsi="Arial" w:cs="Arial"/>
                <w:sz w:val="22"/>
                <w:szCs w:val="22"/>
              </w:rPr>
              <w:t>Optimization</w:t>
            </w:r>
            <w:proofErr w:type="spellEnd"/>
            <w:r w:rsidRPr="000D3224">
              <w:rPr>
                <w:rFonts w:ascii="Arial" w:hAnsi="Arial" w:cs="Arial"/>
                <w:sz w:val="22"/>
                <w:szCs w:val="22"/>
              </w:rPr>
              <w:t xml:space="preserve"> and Management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2E32" w14:textId="73085816" w:rsidR="00FE18F2" w:rsidRPr="000D3224" w:rsidRDefault="00FE18F2" w:rsidP="00FE18F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224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2648" w14:textId="650118B2" w:rsidR="00FE18F2" w:rsidRPr="006E6951" w:rsidRDefault="00FE18F2" w:rsidP="00FE18F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E3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436" w14:textId="2CCD6D6F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1DE1DEA1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D703B8" w14:textId="42A3D479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Náhledové zobrazení při skenování v reálném čase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650BB" w14:textId="33C20830" w:rsidR="00FE18F2" w:rsidRPr="00B87106" w:rsidRDefault="00FE18F2" w:rsidP="00FE18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DDA" w14:textId="5C9199E9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E3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A2F" w14:textId="5FEC093F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288A72A5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6DFBE8" w14:textId="4F189C34" w:rsidR="00FE18F2" w:rsidRPr="00B87106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 xml:space="preserve">Dynamická akvizice pro </w:t>
            </w:r>
            <w:proofErr w:type="spellStart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perfuzní</w:t>
            </w:r>
            <w:proofErr w:type="spellEnd"/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 xml:space="preserve"> vyšetření v rozsahu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5A2C9" w14:textId="3DEC6D3D" w:rsidR="00FE18F2" w:rsidRPr="00B87106" w:rsidRDefault="00FE18F2" w:rsidP="00FE18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106">
              <w:rPr>
                <w:rFonts w:ascii="Arial" w:hAnsi="Arial" w:cs="Arial"/>
                <w:color w:val="000000"/>
                <w:sz w:val="22"/>
                <w:szCs w:val="22"/>
              </w:rPr>
              <w:t>min. 8 cm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902" w14:textId="68DA190F" w:rsidR="00FE18F2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E3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8FE" w14:textId="7D2BB27D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1B953947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581D7A" w14:textId="53A781E0" w:rsidR="00FE18F2" w:rsidRPr="006C5A96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6C5A96">
              <w:rPr>
                <w:rFonts w:ascii="Arial" w:hAnsi="Arial" w:cs="Arial"/>
                <w:sz w:val="22"/>
                <w:szCs w:val="22"/>
              </w:rPr>
              <w:t xml:space="preserve">Dedikovaný HW a SW pro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scan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s duální energií pro přesné odstranění kostí, kalcifikací, či stentů v tepnách a tvorbu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perfuzních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map </w:t>
            </w:r>
          </w:p>
          <w:p w14:paraId="57BAD666" w14:textId="77777777" w:rsidR="00FE18F2" w:rsidRPr="006C5A96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 xml:space="preserve">nebo </w:t>
            </w:r>
          </w:p>
          <w:p w14:paraId="06C1AE39" w14:textId="166FBD38" w:rsidR="00FE18F2" w:rsidRPr="006C5A96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 xml:space="preserve">dedikovaný HW a SW pro subtrakční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scanování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pro přesné odstranění kostí, kalcifikací, či stentů v tepnách a tvorbu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perfuzních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map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562B9" w14:textId="78F3BC5D" w:rsidR="00FE18F2" w:rsidRPr="006C5A96" w:rsidRDefault="00FE18F2" w:rsidP="00FE18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EE1" w14:textId="2D21D15D" w:rsidR="00FE18F2" w:rsidRPr="009F7397" w:rsidRDefault="00FE18F2" w:rsidP="00FE18F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E3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841" w14:textId="106B683D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E6951" w:rsidRPr="00783DDC" w14:paraId="0195F750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55901D" w14:textId="4FCF7493" w:rsidR="006E6951" w:rsidRPr="00B87106" w:rsidRDefault="006E6951" w:rsidP="005B7BB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E6951">
              <w:rPr>
                <w:rFonts w:ascii="Arial" w:hAnsi="Arial" w:cs="Arial"/>
                <w:sz w:val="22"/>
                <w:szCs w:val="22"/>
              </w:rPr>
              <w:t>Zálohování systému pomocí UPS s garantovanou délkou zálohy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68E24" w14:textId="14BD0F02" w:rsidR="006E6951" w:rsidRPr="00B87106" w:rsidRDefault="006E6951" w:rsidP="005B7BB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15 minut**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A3F" w14:textId="7B03DBCB" w:rsidR="006E6951" w:rsidRDefault="00043C55" w:rsidP="005B7BB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B15" w14:textId="4634CF2A" w:rsidR="006E6951" w:rsidRPr="00C42C03" w:rsidRDefault="006E6951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2879F637" w14:textId="77777777" w:rsidTr="00EE6DB4">
        <w:trPr>
          <w:trHeight w:val="668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C53DC" w14:textId="6DD78A64" w:rsidR="005B7BB4" w:rsidRPr="00E752B2" w:rsidRDefault="005B7BB4" w:rsidP="005B7B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52B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Vyhodnocovací SW (pro portálové řešení) s plným programovým vybavením potřebným k realizaci všech výše uvedených požadovaných vyšetření</w:t>
            </w:r>
          </w:p>
        </w:tc>
      </w:tr>
      <w:tr w:rsidR="00D6770A" w:rsidRPr="00783DDC" w14:paraId="38FFBC4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B42D07" w14:textId="421CE775" w:rsidR="00D6770A" w:rsidRPr="009F7397" w:rsidRDefault="00D6770A" w:rsidP="00D6770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 xml:space="preserve">Kompletní diagnostický systém nahrazující dedikované diagnostické stanice v plném rozsahu, tedy pro 2D zobrazení a </w:t>
            </w:r>
            <w:proofErr w:type="gramStart"/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3D</w:t>
            </w:r>
            <w:proofErr w:type="gramEnd"/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rendering</w:t>
            </w:r>
            <w:proofErr w:type="spellEnd"/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 xml:space="preserve"> i komplexní pokročilé </w:t>
            </w:r>
            <w:r w:rsidR="00104C60" w:rsidRPr="009F7397">
              <w:rPr>
                <w:rFonts w:ascii="Arial" w:hAnsi="Arial" w:cs="Arial"/>
                <w:color w:val="000000"/>
                <w:sz w:val="22"/>
                <w:szCs w:val="22"/>
              </w:rPr>
              <w:t>možnosti</w:t>
            </w: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 xml:space="preserve"> vizualizace na vzdálených klientských stanicích bez potřeby importu zpracovávaných studií na klasické stanice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3FC2" w14:textId="4D3D19E6" w:rsidR="00D6770A" w:rsidRPr="009F7397" w:rsidRDefault="00D6770A" w:rsidP="00D6770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B94" w14:textId="3E8699EC" w:rsidR="00D6770A" w:rsidRPr="002F1E8B" w:rsidRDefault="00043C55" w:rsidP="00D6770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C3A0" w14:textId="6D5DE55B" w:rsidR="00D6770A" w:rsidRPr="00C42C03" w:rsidRDefault="00D6770A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6AE46C45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DB2B94" w14:textId="14897005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Základní softwarová výbava</w:t>
            </w: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- min. </w:t>
            </w:r>
            <w:proofErr w:type="gram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2D</w:t>
            </w:r>
            <w:proofErr w:type="gram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, 3D, MPR (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multiplanární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rekonstrukce), MPR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curved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multiplanární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rekonstrukce se zakřivením), MPR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thick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multiplanární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rekonstrukce širších vrstev), MIP (maximum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intenstity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projection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minIP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minimal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intensity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projection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), VRT (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volume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rendering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technique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), měření HU, měření anatomických vzdáleností a úhlů, SW pro automatické odstraňování kostí na principu HU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treshold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, DICOM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Print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Query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Retrieve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, Export dat v DICOM, AVI, JPG nebo PNG formátu.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3827D" w14:textId="7D4648A7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B9A" w14:textId="51F92549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E42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D850" w14:textId="4B379166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9A44A8F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D3513A" w14:textId="77777777" w:rsidR="00FE18F2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SW pro CT cévní analýzu min. v rozsahu:</w:t>
            </w: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automatické subtrakce skeletu CT-DSA, zahrnující pokročilou automatickou vaskulární analýzu se segmentací cévního řečiště včetně základního pojmenování, automatické vyhodnocení a kvantifikace stenóz, rekonstrukce zakřiveného a napřímeného zobrazení lumen cév.  </w:t>
            </w:r>
          </w:p>
          <w:p w14:paraId="0E6B007B" w14:textId="5F71F5D0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Eliminace struktur stentů a kalcifikací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při využití dat získaných ze HW a SW v položce označené 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E39DB" w14:textId="4214DF19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FAA" w14:textId="66787E40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E42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F3F9" w14:textId="2DD1E27A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2A22484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5471E" w14:textId="77777777" w:rsidR="00FE18F2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SW pro CT virtuální kolonoskopii min. v rozsahu: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 automatická segmentační analýza lumen střeva s </w:t>
            </w:r>
            <w:proofErr w:type="spellStart"/>
            <w:proofErr w:type="gram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autocentrací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,  2</w:t>
            </w:r>
            <w:proofErr w:type="gram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D a 3D zobrazení, automatická tvorba Filet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view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endoluminální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fly-through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rekonstrukce , měření velikosti polypů a jejich charakteristika, elektronické čištění střev. </w:t>
            </w:r>
          </w:p>
          <w:p w14:paraId="5DF41E79" w14:textId="6B970199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Současné a synchronizované zobrazení analýzy dat získaných v poloze pacienta na břiše a na zádech.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200BD" w14:textId="56F5BF7D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4B5E" w14:textId="35E87923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E42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6F8" w14:textId="3552E5F3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1200E67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F2324" w14:textId="7C23B759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SW pro hodnocení parenchymu plic, včetně plicní embolie min. v </w:t>
            </w:r>
            <w:r w:rsidR="00460FA6"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rozsahu: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kvantitativní měření v diagnostice plicních </w:t>
            </w:r>
            <w:r w:rsidR="00460FA6" w:rsidRPr="0098276E">
              <w:rPr>
                <w:rFonts w:ascii="Arial" w:hAnsi="Arial" w:cs="Arial"/>
                <w:color w:val="000000"/>
                <w:sz w:val="22"/>
                <w:szCs w:val="22"/>
              </w:rPr>
              <w:t>onemocnění, hodnocení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závažnosti emfyzému s měřením objemu abnormálního plicního parenchymu, segmentace plicních 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laloků. Nástroje pro vyhodnocení podezření plicní embolie se zobrazením distribuce </w:t>
            </w:r>
            <w:r w:rsidR="00EC49CF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ontrastu v jednotlivých částech plicních struktur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40ECB" w14:textId="54B89791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5F30" w14:textId="59551275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E42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4F5" w14:textId="484C5C77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4400B78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579522" w14:textId="57070F65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SW pro analýzu plicních </w:t>
            </w:r>
            <w:proofErr w:type="spellStart"/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nodulů</w:t>
            </w:r>
            <w:proofErr w:type="spellEnd"/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min. v </w:t>
            </w:r>
            <w:r w:rsidR="00460FA6"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rozsahu:</w:t>
            </w:r>
            <w:r w:rsidR="00460FA6"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vybavení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pro hodnocení nízko dávkového CT plicního vyšetření automatickou, případně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semiautomatickou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detekcí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nodulů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, jejich rekonstrukcí do </w:t>
            </w:r>
            <w:proofErr w:type="gram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3D</w:t>
            </w:r>
            <w:proofErr w:type="gram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a kvantitativní analýzou. Analýza bude poskytovat informace o velikosti, tvaru a změnách v čase zjištěných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nodulů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Elapsed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0FA6" w:rsidRPr="0098276E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  <w:proofErr w:type="spellEnd"/>
            <w:r w:rsidR="00460FA6"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60FA6" w:rsidRPr="0098276E">
              <w:rPr>
                <w:rFonts w:ascii="Arial" w:hAnsi="Arial" w:cs="Arial"/>
                <w:color w:val="000000"/>
                <w:sz w:val="22"/>
                <w:szCs w:val="22"/>
              </w:rPr>
              <w:t>Doubling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, Procentuální růst). Měření a výsledkové zprávy budou standardizované a umožní porovnání současných a dřívějších CT skenů plic téhož pacienta včetně společného zobrazení dřívějších skenů pro vizuální porovnání.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0EE19" w14:textId="7EB6B7F2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FE9" w14:textId="5C006CE2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E42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07D" w14:textId="34841C1F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41AB7734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BF493B" w14:textId="606DC66B" w:rsidR="00FE18F2" w:rsidRPr="00783DDC" w:rsidRDefault="00FE18F2" w:rsidP="00FE18F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SW pro plně kvantitativní CT mozkovou objemovou </w:t>
            </w:r>
            <w:proofErr w:type="spellStart"/>
            <w:proofErr w:type="gramStart"/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perfuzi</w:t>
            </w:r>
            <w:proofErr w:type="spellEnd"/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min.</w:t>
            </w:r>
            <w:proofErr w:type="gramEnd"/>
            <w:r w:rsidRPr="009827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 rozsahu: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 zobrazení ve formě přehledných map v základních rovinách (axiální, sagitální,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coronální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) s distribucí infarktové a penumbrové zóny, vytvořených na základě dat získaných ve všech skenovaných vrstvách. Minimální rozsah zobrazených map a kvantifikace pro hodnocení bude,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Cerebral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Blood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Volume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(CBV);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Cerebral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Blood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Flow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(CBF);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transit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(MTT);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peak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(TTP), </w:t>
            </w:r>
            <w:proofErr w:type="spellStart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Tmax</w:t>
            </w:r>
            <w:proofErr w:type="spellEnd"/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E0DA3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 xml:space="preserve"> rozsahu minimálního skenovaného objemu dle specifikace.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945C9" w14:textId="5FD62D23" w:rsidR="00FE18F2" w:rsidRPr="008B6434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42D4" w14:textId="6B8DA8C9" w:rsidR="00FE18F2" w:rsidRPr="002F1E8B" w:rsidRDefault="00FE18F2" w:rsidP="00FE18F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49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F256" w14:textId="67EA35CA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18F2" w:rsidRPr="00783DDC" w14:paraId="0295881C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C91013" w14:textId="036A9D7B" w:rsidR="00FE18F2" w:rsidRPr="006C5A96" w:rsidRDefault="00FE18F2" w:rsidP="00FE18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 xml:space="preserve">Fotorealistické 3D rekonstrukce poslední generace (např.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Cinematic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Rendering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Global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5A96">
              <w:rPr>
                <w:rFonts w:ascii="Arial" w:hAnsi="Arial" w:cs="Arial"/>
                <w:sz w:val="22"/>
                <w:szCs w:val="22"/>
              </w:rPr>
              <w:t>Illumination</w:t>
            </w:r>
            <w:proofErr w:type="spellEnd"/>
            <w:r w:rsidRPr="006C5A9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412A2" w:rsidRPr="006C5A96">
              <w:rPr>
                <w:rFonts w:ascii="Arial" w:hAnsi="Arial" w:cs="Arial"/>
                <w:sz w:val="22"/>
                <w:szCs w:val="22"/>
              </w:rPr>
              <w:t>PRVR...</w:t>
            </w:r>
            <w:r w:rsidRPr="006C5A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68AC" w14:textId="2CA54E6B" w:rsidR="00FE18F2" w:rsidRPr="006C5A96" w:rsidRDefault="00FE18F2" w:rsidP="00FE18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5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AC1" w14:textId="3E4756B7" w:rsidR="00FE18F2" w:rsidRPr="00D6770A" w:rsidRDefault="00FE18F2" w:rsidP="00FE18F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A49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1B3" w14:textId="1F1E6D90" w:rsidR="00FE18F2" w:rsidRPr="00C42C03" w:rsidRDefault="00FE18F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7BB4" w:rsidRPr="00783DDC" w14:paraId="49D5D507" w14:textId="77777777" w:rsidTr="00EE6DB4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5D555" w14:textId="57A9CBD0" w:rsidR="005B7BB4" w:rsidRPr="00E752B2" w:rsidRDefault="005B7BB4" w:rsidP="005B7BB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752B2">
              <w:rPr>
                <w:rFonts w:ascii="Arial" w:hAnsi="Arial" w:cs="Arial"/>
                <w:b/>
                <w:color w:val="000000"/>
                <w:sz w:val="22"/>
                <w:szCs w:val="22"/>
              </w:rPr>
              <w:t>Diagnostický server (portál) pro distribuci a zpracování obrazových dat</w:t>
            </w:r>
          </w:p>
        </w:tc>
      </w:tr>
      <w:tr w:rsidR="00043C55" w:rsidRPr="00783DDC" w14:paraId="4E4FBAB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CFE7CF" w14:textId="73931FD3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 xml:space="preserve">SW licence pro přístup pracujících uživatelů, pro využití základní softwarové výbavy serveru i pokročilých aplikací, které jsou </w:t>
            </w:r>
            <w:r w:rsidRPr="006E2153">
              <w:rPr>
                <w:rFonts w:ascii="Arial" w:hAnsi="Arial" w:cs="Arial"/>
                <w:sz w:val="22"/>
                <w:szCs w:val="22"/>
              </w:rPr>
              <w:t>uvedeny výše</w:t>
            </w:r>
            <w:r w:rsidRPr="005B2162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Možnost připojení minimálně 10 klientských stanic.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CAD44" w14:textId="2955AB42" w:rsidR="00043C55" w:rsidRPr="006B3BEE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min. 3 současně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285" w14:textId="5160F283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4F6" w14:textId="585AE9F3" w:rsidR="00043C55" w:rsidRPr="002F1E8B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4AA456C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58833D" w14:textId="4B49D5E0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Kapacita operační paměti RAM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multimodalitního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serverového portálu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F8412" w14:textId="66C34953" w:rsidR="00043C55" w:rsidRPr="006B3BEE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="006F0CF2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FE6" w14:textId="4DB7A159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E96" w14:textId="32CDE512" w:rsidR="00043C55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0833FA3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CC1CEC" w14:textId="2473964B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Kapacita pevného disku </w:t>
            </w: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multimodalitního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serverového portálu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E82E6" w14:textId="0C26D730" w:rsidR="00043C55" w:rsidRPr="006B3BEE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min. </w:t>
            </w:r>
            <w:r w:rsidR="006F0CF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2412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A04" w14:textId="0E28927E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2897" w14:textId="1FD9BC8E" w:rsidR="00043C55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15F887D4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75F36F" w14:textId="5077132E" w:rsidR="00043C55" w:rsidRPr="005B2162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Vysokokontrastní</w:t>
            </w:r>
            <w:proofErr w:type="spellEnd"/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 xml:space="preserve"> diagnostický monitor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89289" w14:textId="5CF88D88" w:rsidR="00043C55" w:rsidRPr="006B3BEE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162">
              <w:rPr>
                <w:rFonts w:ascii="Arial" w:hAnsi="Arial" w:cs="Arial"/>
                <w:color w:val="000000"/>
                <w:sz w:val="22"/>
                <w:szCs w:val="22"/>
              </w:rPr>
              <w:t>min. 27"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7DC" w14:textId="288B26CF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7CF" w14:textId="7F236554" w:rsidR="00043C55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09E64373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5A903F" w14:textId="6326C4A8" w:rsidR="00043C55" w:rsidRPr="005B2162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Export studií na CD/DVD/USB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8276E">
              <w:rPr>
                <w:rFonts w:ascii="Arial" w:hAnsi="Arial" w:cs="Arial"/>
                <w:color w:val="000000"/>
                <w:sz w:val="22"/>
                <w:szCs w:val="22"/>
              </w:rPr>
              <w:t>import studií z CD/DVD/USB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95A2" w14:textId="15CDACC8" w:rsidR="00043C55" w:rsidRPr="005B2162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2C0A" w14:textId="6290420B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A5A" w14:textId="0BF34E3D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2BE89137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7BE742" w14:textId="33139252" w:rsidR="00043C55" w:rsidRPr="0098276E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sz w:val="22"/>
                <w:szCs w:val="22"/>
              </w:rPr>
              <w:t xml:space="preserve">Export </w:t>
            </w:r>
            <w:r>
              <w:rPr>
                <w:rFonts w:ascii="Arial" w:hAnsi="Arial" w:cs="Arial"/>
                <w:sz w:val="22"/>
                <w:szCs w:val="22"/>
              </w:rPr>
              <w:t>dat</w:t>
            </w:r>
            <w:r w:rsidRPr="006B3BEE">
              <w:rPr>
                <w:rFonts w:ascii="Arial" w:hAnsi="Arial" w:cs="Arial"/>
                <w:sz w:val="22"/>
                <w:szCs w:val="22"/>
              </w:rPr>
              <w:t xml:space="preserve"> v obvyklých formátech (DICOM, </w:t>
            </w:r>
            <w:proofErr w:type="spellStart"/>
            <w:r w:rsidRPr="006B3BEE">
              <w:rPr>
                <w:rFonts w:ascii="Arial" w:hAnsi="Arial" w:cs="Arial"/>
                <w:sz w:val="22"/>
                <w:szCs w:val="22"/>
              </w:rPr>
              <w:t>jpeg</w:t>
            </w:r>
            <w:proofErr w:type="spellEnd"/>
            <w:r w:rsidR="006C5A9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B3BEE">
              <w:rPr>
                <w:rFonts w:ascii="Arial" w:hAnsi="Arial" w:cs="Arial"/>
                <w:sz w:val="22"/>
                <w:szCs w:val="22"/>
              </w:rPr>
              <w:t>av</w:t>
            </w:r>
            <w:r w:rsidR="006C5A9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B3BEE">
              <w:rPr>
                <w:rFonts w:ascii="Arial" w:hAnsi="Arial" w:cs="Arial"/>
                <w:sz w:val="22"/>
                <w:szCs w:val="22"/>
              </w:rPr>
              <w:t xml:space="preserve"> 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8BD2" w14:textId="4180C813" w:rsidR="00043C55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BDA5" w14:textId="39F24546" w:rsidR="00043C55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21F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249" w14:textId="100D446B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D6770A" w:rsidRPr="00783DDC" w14:paraId="5E5DCEAC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FCE82C" w14:textId="3D64FBA3" w:rsidR="00D6770A" w:rsidRPr="006C5A96" w:rsidRDefault="00D6770A" w:rsidP="00D6770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>Export souborů ve formátu pro 3D tisk (např. STL apod.)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C36A" w14:textId="367E5A38" w:rsidR="00D6770A" w:rsidRPr="006C5A96" w:rsidRDefault="00D6770A" w:rsidP="00D6770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A96">
              <w:rPr>
                <w:rFonts w:ascii="Arial" w:hAnsi="Arial" w:cs="Arial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4C6" w14:textId="2CBBF9AE" w:rsidR="00D6770A" w:rsidRPr="00D6770A" w:rsidRDefault="00FE18F2" w:rsidP="00D6770A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2C8D" w14:textId="68067092" w:rsidR="00D6770A" w:rsidRPr="00C42C03" w:rsidRDefault="00D6770A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2162" w:rsidRPr="00783DDC" w14:paraId="53387FC7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843F18" w14:textId="2BE3ED2A" w:rsidR="005B2162" w:rsidRDefault="005B2162" w:rsidP="005B216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Provoz diagnostického serveru bude v nepřetržitém režimu, tzn. 24 hodin denně, 7 dní v týdnu a 365 dní v roce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54FCA" w14:textId="620E3E52" w:rsidR="005B2162" w:rsidRPr="006B3BEE" w:rsidRDefault="005B2162" w:rsidP="005B216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A95" w14:textId="41292ACA" w:rsidR="005B2162" w:rsidRDefault="00043C55" w:rsidP="005B21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392" w14:textId="5A19779D" w:rsidR="005B2162" w:rsidRPr="00C42C03" w:rsidRDefault="005B2162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3CBB7AEA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35E5F5" w14:textId="666A27C1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7397">
              <w:rPr>
                <w:rFonts w:ascii="Arial" w:hAnsi="Arial" w:cs="Arial"/>
                <w:color w:val="000000"/>
                <w:sz w:val="22"/>
                <w:szCs w:val="22"/>
              </w:rPr>
              <w:t>Musí umožnit rychlé a bezpečné připojení na server z pracoviště mimo nemocnici (např. z domova lékaře) při zachování plnohodnotné práce se všemi požadovanými aplikacemi bez omezení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D22D" w14:textId="53EAF19E" w:rsidR="00043C55" w:rsidRPr="006B3BEE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106" w14:textId="575DE06A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48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381" w14:textId="1E0EB56D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4B08DEA5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3E201" w14:textId="3CDF9B4B" w:rsidR="00043C55" w:rsidRPr="002A3D4D" w:rsidRDefault="00043C55" w:rsidP="00043C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A3D4D">
              <w:rPr>
                <w:rFonts w:ascii="Arial" w:hAnsi="Arial" w:cs="Arial"/>
                <w:sz w:val="22"/>
                <w:szCs w:val="22"/>
              </w:rPr>
              <w:t>Jsou akceptována pouze originální SW řešení diagnostického serveru jednotlivých výrobců, v žádném případě nejsou akceptována SW řešení třetích stran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1E41B" w14:textId="62273AF2" w:rsidR="00043C55" w:rsidRPr="002A3D4D" w:rsidRDefault="00FE18F2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3D4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BB0E" w14:textId="3FBB11AD" w:rsidR="00043C55" w:rsidRPr="009F7397" w:rsidRDefault="00043C55" w:rsidP="00043C5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B48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ABF0" w14:textId="2E987F20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1199A396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DE608" w14:textId="0AAA9DA5" w:rsidR="00043C55" w:rsidRPr="00140942" w:rsidRDefault="00043C55" w:rsidP="00043C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0942">
              <w:rPr>
                <w:rFonts w:ascii="Arial" w:hAnsi="Arial" w:cs="Arial"/>
                <w:sz w:val="22"/>
                <w:szCs w:val="22"/>
              </w:rPr>
              <w:t>Kompletní DICOM 3,0 konektivita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EAA55" w14:textId="4E6E7358" w:rsidR="00043C55" w:rsidRPr="00140942" w:rsidRDefault="00043C55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942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828" w14:textId="0E5EF4FE" w:rsidR="00043C55" w:rsidRPr="00D6770A" w:rsidRDefault="00043C55" w:rsidP="00043C5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B48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919" w14:textId="1BCC1BF2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54B3BA38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86C4C" w14:textId="32883756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DICOM služby v rozsahu: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Store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Storage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Commitment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Query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Retrieve</w:t>
            </w:r>
            <w:proofErr w:type="spellEnd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 xml:space="preserve">, Modality </w:t>
            </w:r>
            <w:proofErr w:type="spellStart"/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F93D2" w14:textId="2EBFB802" w:rsidR="00043C55" w:rsidRPr="008B6434" w:rsidRDefault="00043C55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4EE" w14:textId="742143B6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48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8AE" w14:textId="5A3C5A23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043C55" w:rsidRPr="00783DDC" w14:paraId="15BF612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B80E5A" w14:textId="006242F9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951">
              <w:rPr>
                <w:rFonts w:ascii="Arial" w:hAnsi="Arial" w:cs="Arial"/>
                <w:sz w:val="22"/>
                <w:szCs w:val="22"/>
              </w:rPr>
              <w:t>Zálohování systému pomocí UPS s</w:t>
            </w:r>
            <w:r w:rsidR="00F111B4">
              <w:rPr>
                <w:rFonts w:ascii="Arial" w:hAnsi="Arial" w:cs="Arial"/>
                <w:sz w:val="22"/>
                <w:szCs w:val="22"/>
              </w:rPr>
              <w:t> kapacitou pro nepřerušený provoz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B9479" w14:textId="578F885A" w:rsidR="00043C55" w:rsidRPr="008B6434" w:rsidRDefault="00043C55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15 minut**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18B" w14:textId="0B69CE96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480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082" w14:textId="46029EB5" w:rsidR="00043C55" w:rsidRPr="00C42C03" w:rsidRDefault="00043C55" w:rsidP="00C42C0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2162" w:rsidRPr="00783DDC" w14:paraId="64B97B89" w14:textId="77777777" w:rsidTr="00EE6DB4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3AFB" w14:textId="3C3811B4" w:rsidR="005B2162" w:rsidRPr="004B0F62" w:rsidRDefault="005B2162" w:rsidP="005B216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0F62">
              <w:rPr>
                <w:rFonts w:ascii="Arial" w:hAnsi="Arial" w:cs="Arial"/>
                <w:b/>
                <w:color w:val="000000"/>
                <w:sz w:val="22"/>
                <w:szCs w:val="22"/>
              </w:rPr>
              <w:t>Diagnostická vyhodnocovací stanice</w:t>
            </w:r>
          </w:p>
        </w:tc>
      </w:tr>
      <w:tr w:rsidR="00043C55" w:rsidRPr="00783DDC" w14:paraId="485B0845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92D1BB" w14:textId="14602D76" w:rsidR="00043C55" w:rsidRPr="00783DDC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>HW s dostatečným výkonem a grafickou kartou optimalizovaný pro práci s portálem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4A92E" w14:textId="63B249A6" w:rsidR="00043C55" w:rsidRPr="008B6434" w:rsidRDefault="00043C55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37DC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584" w14:textId="5C429085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0E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707" w14:textId="7DC78FBF" w:rsidR="00043C55" w:rsidRPr="002F1E8B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357EA131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EE3C8" w14:textId="77777777" w:rsidR="00043C55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ks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vysoko kontrastní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ho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diagnostick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ého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lékařsk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ého 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>certifikací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min.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třídy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zdravotnického prostředku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>IIa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6770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4C2D18CD" w14:textId="0C8B9FEA" w:rsidR="00043C55" w:rsidRPr="006B3BEE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 xml:space="preserve">rozlišení monitoru min. 4 </w:t>
            </w:r>
            <w:proofErr w:type="spellStart"/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>Mpix</w:t>
            </w:r>
            <w:proofErr w:type="spellEnd"/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>, velikost min.30“, IPS panel, ochranné antireflexní sklo, poměr stran 16:10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D4537" w14:textId="49C05FAA" w:rsidR="00043C55" w:rsidRPr="008B6434" w:rsidRDefault="00043C55" w:rsidP="00043C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37DC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987" w14:textId="5A3E312F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0E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545" w14:textId="6BE29DC0" w:rsidR="00043C55" w:rsidRPr="002F1E8B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627364E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CBD11" w14:textId="3325CA4A" w:rsidR="00043C55" w:rsidRPr="006B3BEE" w:rsidRDefault="00043C55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ks standartního LCD </w:t>
            </w: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 xml:space="preserve"> pro NIS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velikosti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E2E2F" w14:textId="44E0D989" w:rsidR="00043C55" w:rsidRPr="00664127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>Min. 21"**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866" w14:textId="387FC3F0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0E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D68" w14:textId="6FCAC941" w:rsidR="00043C55" w:rsidRPr="002F1E8B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43C55" w:rsidRPr="00783DDC" w14:paraId="51F1BB8B" w14:textId="77777777" w:rsidTr="00C42C03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CBFD2" w14:textId="69CA112F" w:rsidR="00043C55" w:rsidRPr="006B3BEE" w:rsidRDefault="00F111B4" w:rsidP="00043C5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951">
              <w:rPr>
                <w:rFonts w:ascii="Arial" w:hAnsi="Arial" w:cs="Arial"/>
                <w:sz w:val="22"/>
                <w:szCs w:val="22"/>
              </w:rPr>
              <w:t>Zálohování systému pomocí UPS s</w:t>
            </w:r>
            <w:r>
              <w:rPr>
                <w:rFonts w:ascii="Arial" w:hAnsi="Arial" w:cs="Arial"/>
                <w:sz w:val="22"/>
                <w:szCs w:val="22"/>
              </w:rPr>
              <w:t> kapacitou pro nepřerušený provoz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CD54" w14:textId="3C8C98DC" w:rsidR="00043C55" w:rsidRPr="00664127" w:rsidRDefault="00043C55" w:rsidP="00043C5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4127">
              <w:rPr>
                <w:rFonts w:ascii="Arial" w:hAnsi="Arial" w:cs="Arial"/>
                <w:color w:val="000000"/>
                <w:sz w:val="22"/>
                <w:szCs w:val="22"/>
              </w:rPr>
              <w:t>Min. 15 minut**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2AB" w14:textId="679280A7" w:rsidR="00043C55" w:rsidRPr="002F1E8B" w:rsidRDefault="00043C55" w:rsidP="00043C5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0E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AE4" w14:textId="5197C237" w:rsidR="00043C55" w:rsidRPr="002F1E8B" w:rsidRDefault="00043C55" w:rsidP="00C42C0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2162" w:rsidRPr="00783DDC" w14:paraId="48780686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67C35" w14:textId="2AA365C2" w:rsidR="005B2162" w:rsidRPr="00783DDC" w:rsidRDefault="005B2162" w:rsidP="005B2162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</w:t>
            </w:r>
          </w:p>
        </w:tc>
      </w:tr>
      <w:tr w:rsidR="006A1BA5" w:rsidRPr="00783DDC" w14:paraId="0BF1808C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F2600" w14:textId="3FFAC82B" w:rsidR="006A1BA5" w:rsidRPr="00BC0693" w:rsidRDefault="006A1BA5" w:rsidP="006A1BA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693">
              <w:rPr>
                <w:rFonts w:ascii="Arial" w:hAnsi="Arial" w:cs="Arial"/>
                <w:color w:val="000000"/>
                <w:sz w:val="22"/>
                <w:szCs w:val="22"/>
              </w:rPr>
              <w:t xml:space="preserve">UPS pro zálohu </w:t>
            </w:r>
            <w:proofErr w:type="spellStart"/>
            <w:r w:rsidRPr="00BC0693">
              <w:rPr>
                <w:rFonts w:ascii="Arial" w:hAnsi="Arial" w:cs="Arial"/>
                <w:color w:val="000000"/>
                <w:sz w:val="22"/>
                <w:szCs w:val="22"/>
              </w:rPr>
              <w:t>rekonstruktoru</w:t>
            </w:r>
            <w:proofErr w:type="spellEnd"/>
            <w:r w:rsidR="00F111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1AB5C" w14:textId="61CF7742" w:rsidR="006A1BA5" w:rsidRPr="00BC0693" w:rsidRDefault="006A1BA5" w:rsidP="006A1BA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0693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C24" w14:textId="094D34BE" w:rsidR="006A1BA5" w:rsidRPr="00BC0693" w:rsidRDefault="006A1BA5" w:rsidP="006A1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6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EB3" w14:textId="71BE7827" w:rsidR="006A1BA5" w:rsidRPr="00C42C03" w:rsidRDefault="006A1BA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A5" w:rsidRPr="00783DDC" w14:paraId="2310EEFC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B480E" w14:textId="6EB87D73" w:rsidR="006A1BA5" w:rsidRPr="006A1BA5" w:rsidRDefault="006A1BA5" w:rsidP="006A1BA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A1BA5">
              <w:rPr>
                <w:rFonts w:ascii="Arial" w:hAnsi="Arial" w:cs="Arial"/>
                <w:sz w:val="22"/>
                <w:szCs w:val="22"/>
              </w:rPr>
              <w:lastRenderedPageBreak/>
              <w:t xml:space="preserve">Automatický pístový </w:t>
            </w:r>
            <w:r w:rsidR="00140942">
              <w:rPr>
                <w:rFonts w:ascii="Arial" w:hAnsi="Arial" w:cs="Arial"/>
                <w:sz w:val="22"/>
                <w:szCs w:val="22"/>
              </w:rPr>
              <w:t>i</w:t>
            </w:r>
            <w:r w:rsidRPr="006A1BA5">
              <w:rPr>
                <w:rFonts w:ascii="Arial" w:hAnsi="Arial" w:cs="Arial"/>
                <w:sz w:val="22"/>
                <w:szCs w:val="22"/>
              </w:rPr>
              <w:t>njektor pro aplikaci kontrastních látek s integrovaným systémem pro ohřev, připevněný na stropním závěsu, včetně dodání stropního závěsu a jeho instalace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7F935" w14:textId="04938773" w:rsidR="006A1BA5" w:rsidRPr="00BC0693" w:rsidRDefault="006A1BA5" w:rsidP="006A1BA5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1F7" w14:textId="71ED1E35" w:rsidR="006A1BA5" w:rsidRPr="00BC0693" w:rsidRDefault="006A1BA5" w:rsidP="006A1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6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729" w14:textId="77777777" w:rsidR="006A1BA5" w:rsidRPr="00C42C03" w:rsidRDefault="006A1BA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A5" w:rsidRPr="00783DDC" w14:paraId="25478E50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F0A6D" w14:textId="0234759D" w:rsidR="006A1BA5" w:rsidRPr="00BC0693" w:rsidRDefault="006A1BA5" w:rsidP="006A1BA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693">
              <w:rPr>
                <w:rFonts w:ascii="Arial" w:hAnsi="Arial" w:cs="Arial"/>
                <w:color w:val="000000"/>
                <w:sz w:val="22"/>
                <w:szCs w:val="22"/>
              </w:rPr>
              <w:t xml:space="preserve">Náhledový monitor o velikosti min. 19“ a poměrem stran 4:3 </w:t>
            </w:r>
            <w:r w:rsidRPr="00BC0693">
              <w:rPr>
                <w:rFonts w:ascii="Arial" w:hAnsi="Arial" w:cs="Arial"/>
                <w:sz w:val="22"/>
                <w:szCs w:val="22"/>
              </w:rPr>
              <w:t>(event. 5:4)</w:t>
            </w:r>
            <w:r w:rsidRPr="00BC069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EF001A">
              <w:rPr>
                <w:rFonts w:ascii="Arial" w:hAnsi="Arial" w:cs="Arial"/>
                <w:sz w:val="22"/>
                <w:szCs w:val="22"/>
              </w:rPr>
              <w:t xml:space="preserve">umístěný ve vyšetřovně na stropním závěsném ramenu </w:t>
            </w:r>
            <w:r w:rsidR="00724C05">
              <w:rPr>
                <w:rFonts w:ascii="Arial" w:hAnsi="Arial" w:cs="Arial"/>
                <w:sz w:val="22"/>
                <w:szCs w:val="22"/>
              </w:rPr>
              <w:t xml:space="preserve">(VESA) </w:t>
            </w:r>
            <w:r w:rsidRPr="00EF001A">
              <w:rPr>
                <w:rFonts w:ascii="Arial" w:hAnsi="Arial" w:cs="Arial"/>
                <w:sz w:val="22"/>
                <w:szCs w:val="22"/>
              </w:rPr>
              <w:t>pro zrcadlení obrazu z </w:t>
            </w:r>
            <w:proofErr w:type="spellStart"/>
            <w:r w:rsidRPr="00EF001A">
              <w:rPr>
                <w:rFonts w:ascii="Arial" w:hAnsi="Arial" w:cs="Arial"/>
                <w:sz w:val="22"/>
                <w:szCs w:val="22"/>
              </w:rPr>
              <w:t>ovladovny</w:t>
            </w:r>
            <w:proofErr w:type="spellEnd"/>
            <w:r w:rsidRPr="00EF001A">
              <w:rPr>
                <w:rFonts w:ascii="Arial" w:hAnsi="Arial" w:cs="Arial"/>
                <w:sz w:val="22"/>
                <w:szCs w:val="22"/>
              </w:rPr>
              <w:t xml:space="preserve"> (dodáno vč. stropního závěsu)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EB24" w14:textId="62F88C82" w:rsidR="006A1BA5" w:rsidRPr="00BC0693" w:rsidRDefault="006A1BA5" w:rsidP="006A1BA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0693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FE8" w14:textId="30ACD882" w:rsidR="006A1BA5" w:rsidRPr="00BC0693" w:rsidRDefault="006A1BA5" w:rsidP="006A1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6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B00" w14:textId="53747899" w:rsidR="006A1BA5" w:rsidRPr="00C42C03" w:rsidRDefault="006A1BA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A5" w:rsidRPr="00783DDC" w14:paraId="0D79B358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AA492" w14:textId="5101B9B5" w:rsidR="006A1BA5" w:rsidRPr="006B3BEE" w:rsidRDefault="006A1BA5" w:rsidP="006A1BA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Kotevní komponenty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50D4" w14:textId="4A3E36AF" w:rsidR="006A1BA5" w:rsidRPr="006B3BEE" w:rsidRDefault="006A1BA5" w:rsidP="006A1BA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C0B" w14:textId="71FAB370" w:rsidR="006A1BA5" w:rsidRPr="00BC0693" w:rsidRDefault="006A1BA5" w:rsidP="006A1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6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9B1" w14:textId="77777777" w:rsidR="006A1BA5" w:rsidRPr="00C42C03" w:rsidRDefault="006A1BA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A5" w:rsidRPr="00783DDC" w14:paraId="4F74C296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87112" w14:textId="4FC4C0EC" w:rsidR="006A1BA5" w:rsidRPr="006B3BEE" w:rsidRDefault="006A1BA5" w:rsidP="006A1BA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Elektrický rozvaděč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6B6FA" w14:textId="4A2A0669" w:rsidR="006A1BA5" w:rsidRPr="006B3BEE" w:rsidRDefault="006A1BA5" w:rsidP="006A1BA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CD4" w14:textId="39C2C314" w:rsidR="006A1BA5" w:rsidRPr="00BC0693" w:rsidRDefault="006A1BA5" w:rsidP="006A1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26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9D9" w14:textId="77777777" w:rsidR="006A1BA5" w:rsidRPr="00C42C03" w:rsidRDefault="006A1BA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C05" w:rsidRPr="00783DDC" w14:paraId="0A237294" w14:textId="77777777" w:rsidTr="00C42C03">
        <w:trPr>
          <w:trHeight w:val="10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BBBBA" w14:textId="7B852980" w:rsidR="00724C05" w:rsidRPr="00724C05" w:rsidRDefault="00724C05" w:rsidP="00724C0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color w:val="000000"/>
                <w:sz w:val="22"/>
                <w:szCs w:val="22"/>
              </w:rPr>
              <w:t>Chladící jednotka pro odvod tepla vyzářeného CT přístrojem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 dostatečným výkonem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C4BD" w14:textId="552F868F" w:rsidR="00724C05" w:rsidRPr="00724C05" w:rsidRDefault="00724C05" w:rsidP="00724C05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501" w14:textId="2BCA6DD4" w:rsidR="00724C05" w:rsidRPr="00BC0693" w:rsidRDefault="00724C05" w:rsidP="00724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9B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6DC" w14:textId="77777777" w:rsidR="00724C05" w:rsidRPr="00C42C03" w:rsidRDefault="00724C0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C05" w:rsidRPr="00783DDC" w14:paraId="6A06F129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B4856" w14:textId="1198F19F" w:rsidR="00724C05" w:rsidRPr="006B3BEE" w:rsidRDefault="00724C05" w:rsidP="00724C0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sz w:val="22"/>
                <w:szCs w:val="22"/>
              </w:rPr>
              <w:t>Veškeré potřebné vybavení pro provádění zkoušek provozní stálosti (ZPS) s četností měsíční nebo vyšší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AB4" w14:textId="337A25EC" w:rsidR="00724C05" w:rsidRPr="006B3BEE" w:rsidRDefault="00724C05" w:rsidP="00724C0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49E" w14:textId="0FE4319A" w:rsidR="00724C05" w:rsidRPr="00BC0693" w:rsidRDefault="00724C05" w:rsidP="00724C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9B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E9A" w14:textId="5428E774" w:rsidR="00724C05" w:rsidRPr="00C42C03" w:rsidRDefault="00724C0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C05" w:rsidRPr="00783DDC" w14:paraId="49B9C2F5" w14:textId="77777777" w:rsidTr="00C42C0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E9C38" w14:textId="700D9B4F" w:rsidR="00724C05" w:rsidRPr="006B3BEE" w:rsidRDefault="00724C05" w:rsidP="00724C0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3BEE">
              <w:rPr>
                <w:rFonts w:ascii="Arial" w:hAnsi="Arial" w:cs="Arial"/>
                <w:sz w:val="22"/>
                <w:szCs w:val="22"/>
              </w:rPr>
              <w:t>Veškeré další příslušenství nutné k zahájení provozu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BE084" w14:textId="550C17F7" w:rsidR="00724C05" w:rsidRPr="006B3BEE" w:rsidRDefault="00724C05" w:rsidP="00724C0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B3BEE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F0C" w14:textId="404F9908" w:rsidR="00724C05" w:rsidRDefault="00724C05" w:rsidP="00724C05">
            <w:pPr>
              <w:jc w:val="center"/>
            </w:pPr>
            <w:r w:rsidRPr="00DB29B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F6E" w14:textId="13A36552" w:rsidR="00724C05" w:rsidRPr="00C42C03" w:rsidRDefault="00724C05" w:rsidP="00C4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56DFA" w14:textId="77777777" w:rsidR="00783DDC" w:rsidRPr="00F92C03" w:rsidRDefault="00783DDC" w:rsidP="00783DDC">
      <w:pPr>
        <w:pStyle w:val="Zkladntextodsazen"/>
        <w:ind w:left="0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 w:rsidR="00BE1905"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0398F86D" w14:textId="77777777" w:rsidR="00783DDC" w:rsidRPr="00285116" w:rsidRDefault="00783DDC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7F321F1A" w14:textId="77777777" w:rsidR="001F3B87" w:rsidRPr="001F3B87" w:rsidRDefault="00783DDC" w:rsidP="001F3B87">
      <w:pPr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t>Za splnění numerického parametru (číselně vyjádřeného) se považuje i případ, kdy se hodnota nabízeného parametru odchyluje od požadovaného parametru v rozmezí do ±</w:t>
      </w:r>
      <w:proofErr w:type="gramStart"/>
      <w:r w:rsidRPr="00F92C03">
        <w:rPr>
          <w:rFonts w:ascii="Arial" w:hAnsi="Arial" w:cs="Arial"/>
          <w:i/>
          <w:sz w:val="22"/>
          <w:szCs w:val="22"/>
        </w:rPr>
        <w:t>10%</w:t>
      </w:r>
      <w:proofErr w:type="gramEnd"/>
      <w:r w:rsidRPr="00F92C03">
        <w:rPr>
          <w:rFonts w:ascii="Arial" w:hAnsi="Arial" w:cs="Arial"/>
          <w:i/>
          <w:sz w:val="22"/>
          <w:szCs w:val="22"/>
        </w:rPr>
        <w:t xml:space="preserve">. </w:t>
      </w:r>
      <w:r w:rsidR="001F3B87" w:rsidRPr="001F3B87">
        <w:rPr>
          <w:rFonts w:ascii="Arial" w:hAnsi="Arial" w:cs="Arial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1E7F1097" w14:textId="40E0194A" w:rsidR="00783DDC" w:rsidRDefault="00783DDC" w:rsidP="00783DDC">
      <w:pPr>
        <w:jc w:val="both"/>
        <w:rPr>
          <w:rFonts w:ascii="Arial" w:hAnsi="Arial" w:cs="Arial"/>
          <w:i/>
          <w:sz w:val="22"/>
          <w:szCs w:val="22"/>
        </w:rPr>
      </w:pPr>
    </w:p>
    <w:p w14:paraId="6E13DF07" w14:textId="0753F95E" w:rsidR="0096134C" w:rsidRDefault="0096134C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3B925135" w14:textId="774231B9" w:rsidR="001F3B87" w:rsidRDefault="001F3B87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417A6D62" w14:textId="10C32717" w:rsidR="001F3B87" w:rsidRDefault="001F3B87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29BF52B5" w14:textId="2BD4A9D2" w:rsidR="001F3B87" w:rsidRDefault="001F3B87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18839C62" w14:textId="77777777" w:rsidR="001F3B87" w:rsidRDefault="001F3B87" w:rsidP="00783DDC">
      <w:pPr>
        <w:jc w:val="both"/>
        <w:rPr>
          <w:rFonts w:ascii="Arial" w:hAnsi="Arial" w:cs="Arial"/>
          <w:sz w:val="28"/>
        </w:rPr>
      </w:pPr>
    </w:p>
    <w:p w14:paraId="0B60082E" w14:textId="77777777" w:rsidR="0096134C" w:rsidRDefault="0096134C" w:rsidP="00783DDC">
      <w:pPr>
        <w:jc w:val="both"/>
        <w:rPr>
          <w:rFonts w:ascii="Arial" w:hAnsi="Arial" w:cs="Arial"/>
          <w:sz w:val="28"/>
        </w:rPr>
      </w:pPr>
    </w:p>
    <w:p w14:paraId="7E269144" w14:textId="77777777" w:rsidR="00285116" w:rsidRPr="00282B95" w:rsidRDefault="00285116" w:rsidP="00783DDC">
      <w:pPr>
        <w:jc w:val="both"/>
        <w:rPr>
          <w:rFonts w:ascii="Arial" w:hAnsi="Arial" w:cs="Arial"/>
          <w:sz w:val="28"/>
        </w:rPr>
      </w:pPr>
    </w:p>
    <w:p w14:paraId="289FE5A0" w14:textId="77777777" w:rsidR="00793B1A" w:rsidRPr="0095114D" w:rsidRDefault="00A819A7" w:rsidP="00446B9E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  <w:r w:rsidRPr="00783DDC">
        <w:rPr>
          <w:rFonts w:ascii="Arial" w:hAnsi="Arial" w:cs="Arial"/>
          <w:sz w:val="22"/>
          <w:szCs w:val="22"/>
        </w:rPr>
        <w:tab/>
      </w:r>
      <w:r w:rsidR="00446B9E"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 w:rsidR="00BE1905"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</w:p>
    <w:sectPr w:rsidR="00793B1A" w:rsidRPr="0095114D" w:rsidSect="0096134C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1D01" w14:textId="77777777" w:rsidR="00C91FBF" w:rsidRDefault="00C91FBF" w:rsidP="006D10A9">
      <w:r>
        <w:separator/>
      </w:r>
    </w:p>
  </w:endnote>
  <w:endnote w:type="continuationSeparator" w:id="0">
    <w:p w14:paraId="3BCE15EC" w14:textId="77777777" w:rsidR="00C91FBF" w:rsidRDefault="00C91FBF" w:rsidP="006D10A9">
      <w:r>
        <w:continuationSeparator/>
      </w:r>
    </w:p>
  </w:endnote>
  <w:endnote w:type="continuationNotice" w:id="1">
    <w:p w14:paraId="6AF7BBDD" w14:textId="77777777" w:rsidR="00C91FBF" w:rsidRDefault="00C91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3234"/>
      <w:docPartObj>
        <w:docPartGallery w:val="Page Numbers (Bottom of Page)"/>
        <w:docPartUnique/>
      </w:docPartObj>
    </w:sdtPr>
    <w:sdtEndPr/>
    <w:sdtContent>
      <w:p w14:paraId="4B1CC0A9" w14:textId="161D26A9" w:rsidR="00022F37" w:rsidRDefault="00022F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2C996D9" w14:textId="77777777" w:rsidR="00022F37" w:rsidRDefault="00022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19A4" w14:textId="77777777" w:rsidR="00C91FBF" w:rsidRDefault="00C91FBF" w:rsidP="006D10A9">
      <w:r>
        <w:separator/>
      </w:r>
    </w:p>
  </w:footnote>
  <w:footnote w:type="continuationSeparator" w:id="0">
    <w:p w14:paraId="31008474" w14:textId="77777777" w:rsidR="00C91FBF" w:rsidRDefault="00C91FBF" w:rsidP="006D10A9">
      <w:r>
        <w:continuationSeparator/>
      </w:r>
    </w:p>
  </w:footnote>
  <w:footnote w:type="continuationNotice" w:id="1">
    <w:p w14:paraId="4433EDC1" w14:textId="77777777" w:rsidR="00C91FBF" w:rsidRDefault="00C91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9F49" w14:textId="4C1CBF43" w:rsidR="004D30CE" w:rsidRPr="001F48B8" w:rsidRDefault="003B6BDA" w:rsidP="003174C6">
    <w:pPr>
      <w:pStyle w:val="Nadpis1"/>
      <w:ind w:hanging="142"/>
      <w:rPr>
        <w:rFonts w:ascii="Calibri" w:hAnsi="Calibri"/>
        <w:sz w:val="28"/>
      </w:rPr>
    </w:pPr>
    <w:r>
      <w:rPr>
        <w:noProof/>
      </w:rPr>
      <w:drawing>
        <wp:inline distT="0" distB="0" distL="0" distR="0" wp14:anchorId="01193729" wp14:editId="175C545A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0D"/>
    <w:multiLevelType w:val="hybridMultilevel"/>
    <w:tmpl w:val="F2CE4FCE"/>
    <w:lvl w:ilvl="0" w:tplc="7268602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68D527F"/>
    <w:multiLevelType w:val="hybridMultilevel"/>
    <w:tmpl w:val="1C1A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620"/>
    <w:multiLevelType w:val="hybridMultilevel"/>
    <w:tmpl w:val="A3D0F09C"/>
    <w:lvl w:ilvl="0" w:tplc="A852BE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347"/>
    <w:multiLevelType w:val="hybridMultilevel"/>
    <w:tmpl w:val="CC128D50"/>
    <w:lvl w:ilvl="0" w:tplc="C8BC82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549D"/>
    <w:multiLevelType w:val="hybridMultilevel"/>
    <w:tmpl w:val="A0869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94459"/>
    <w:multiLevelType w:val="hybridMultilevel"/>
    <w:tmpl w:val="C8C01928"/>
    <w:lvl w:ilvl="0" w:tplc="5B52C7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A596E"/>
    <w:multiLevelType w:val="hybridMultilevel"/>
    <w:tmpl w:val="38F6920E"/>
    <w:lvl w:ilvl="0" w:tplc="738E6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9"/>
    <w:rsid w:val="00010071"/>
    <w:rsid w:val="00014DFF"/>
    <w:rsid w:val="000162F8"/>
    <w:rsid w:val="00016BCA"/>
    <w:rsid w:val="000217C3"/>
    <w:rsid w:val="00022CA2"/>
    <w:rsid w:val="00022F37"/>
    <w:rsid w:val="00026B08"/>
    <w:rsid w:val="0003085F"/>
    <w:rsid w:val="00040D4F"/>
    <w:rsid w:val="00041E7B"/>
    <w:rsid w:val="00042D57"/>
    <w:rsid w:val="00042F39"/>
    <w:rsid w:val="00043C55"/>
    <w:rsid w:val="00063244"/>
    <w:rsid w:val="00074B73"/>
    <w:rsid w:val="00075C8A"/>
    <w:rsid w:val="000842D2"/>
    <w:rsid w:val="00097D43"/>
    <w:rsid w:val="000B4761"/>
    <w:rsid w:val="000D051D"/>
    <w:rsid w:val="000D3224"/>
    <w:rsid w:val="000D6487"/>
    <w:rsid w:val="000E1BA6"/>
    <w:rsid w:val="000E449B"/>
    <w:rsid w:val="000E5E99"/>
    <w:rsid w:val="000E76E3"/>
    <w:rsid w:val="000F69F3"/>
    <w:rsid w:val="000F7BB5"/>
    <w:rsid w:val="001027D8"/>
    <w:rsid w:val="00104C60"/>
    <w:rsid w:val="00140942"/>
    <w:rsid w:val="00141039"/>
    <w:rsid w:val="001423AE"/>
    <w:rsid w:val="001534E1"/>
    <w:rsid w:val="001547F6"/>
    <w:rsid w:val="00156099"/>
    <w:rsid w:val="001638F9"/>
    <w:rsid w:val="00163C42"/>
    <w:rsid w:val="00163EDF"/>
    <w:rsid w:val="0018436D"/>
    <w:rsid w:val="00196896"/>
    <w:rsid w:val="001B50C2"/>
    <w:rsid w:val="001C63FF"/>
    <w:rsid w:val="001D179E"/>
    <w:rsid w:val="001E323A"/>
    <w:rsid w:val="001E4B14"/>
    <w:rsid w:val="001E56D2"/>
    <w:rsid w:val="001E7833"/>
    <w:rsid w:val="001E7AF1"/>
    <w:rsid w:val="001F2760"/>
    <w:rsid w:val="001F3B87"/>
    <w:rsid w:val="001F48B8"/>
    <w:rsid w:val="001F7D1A"/>
    <w:rsid w:val="0020656F"/>
    <w:rsid w:val="00206C03"/>
    <w:rsid w:val="002137B2"/>
    <w:rsid w:val="002162D5"/>
    <w:rsid w:val="0021650F"/>
    <w:rsid w:val="00220EF3"/>
    <w:rsid w:val="00232EC1"/>
    <w:rsid w:val="0023694F"/>
    <w:rsid w:val="002412A2"/>
    <w:rsid w:val="00241FE2"/>
    <w:rsid w:val="0024625E"/>
    <w:rsid w:val="002476B5"/>
    <w:rsid w:val="0025134C"/>
    <w:rsid w:val="0025183E"/>
    <w:rsid w:val="00254443"/>
    <w:rsid w:val="00255E9C"/>
    <w:rsid w:val="00265F83"/>
    <w:rsid w:val="00266CC7"/>
    <w:rsid w:val="00272CDE"/>
    <w:rsid w:val="0027788A"/>
    <w:rsid w:val="00280F2B"/>
    <w:rsid w:val="00281FDC"/>
    <w:rsid w:val="00282C98"/>
    <w:rsid w:val="00285116"/>
    <w:rsid w:val="00286174"/>
    <w:rsid w:val="00286BEC"/>
    <w:rsid w:val="002876CF"/>
    <w:rsid w:val="0029168D"/>
    <w:rsid w:val="0029211E"/>
    <w:rsid w:val="00295256"/>
    <w:rsid w:val="00296B79"/>
    <w:rsid w:val="00296F38"/>
    <w:rsid w:val="002A3D4D"/>
    <w:rsid w:val="002A6C9B"/>
    <w:rsid w:val="002C2344"/>
    <w:rsid w:val="002C28C6"/>
    <w:rsid w:val="002D1265"/>
    <w:rsid w:val="002D2786"/>
    <w:rsid w:val="002D4A4E"/>
    <w:rsid w:val="002D64B5"/>
    <w:rsid w:val="002D674B"/>
    <w:rsid w:val="002D7A68"/>
    <w:rsid w:val="002E5982"/>
    <w:rsid w:val="002F2915"/>
    <w:rsid w:val="002F4CDE"/>
    <w:rsid w:val="002F6C77"/>
    <w:rsid w:val="00300E07"/>
    <w:rsid w:val="0030160C"/>
    <w:rsid w:val="00306F11"/>
    <w:rsid w:val="00306FDE"/>
    <w:rsid w:val="003131D3"/>
    <w:rsid w:val="00313790"/>
    <w:rsid w:val="003174C6"/>
    <w:rsid w:val="00324D99"/>
    <w:rsid w:val="003353ED"/>
    <w:rsid w:val="00336758"/>
    <w:rsid w:val="0033787F"/>
    <w:rsid w:val="003418E7"/>
    <w:rsid w:val="00346304"/>
    <w:rsid w:val="00355327"/>
    <w:rsid w:val="00355BB5"/>
    <w:rsid w:val="0035780F"/>
    <w:rsid w:val="0037122A"/>
    <w:rsid w:val="00375FF1"/>
    <w:rsid w:val="003830B2"/>
    <w:rsid w:val="003B6BDA"/>
    <w:rsid w:val="003C0091"/>
    <w:rsid w:val="003D1B03"/>
    <w:rsid w:val="003E3E0B"/>
    <w:rsid w:val="003F3EA4"/>
    <w:rsid w:val="003F7518"/>
    <w:rsid w:val="00404D88"/>
    <w:rsid w:val="004125DC"/>
    <w:rsid w:val="00416E7E"/>
    <w:rsid w:val="00417605"/>
    <w:rsid w:val="004213BD"/>
    <w:rsid w:val="00426A3C"/>
    <w:rsid w:val="00446B9E"/>
    <w:rsid w:val="00460FA6"/>
    <w:rsid w:val="004624A8"/>
    <w:rsid w:val="00474629"/>
    <w:rsid w:val="00486AB0"/>
    <w:rsid w:val="004B0F62"/>
    <w:rsid w:val="004B2891"/>
    <w:rsid w:val="004B538C"/>
    <w:rsid w:val="004C2703"/>
    <w:rsid w:val="004C3992"/>
    <w:rsid w:val="004D30CE"/>
    <w:rsid w:val="004D37D8"/>
    <w:rsid w:val="004E4E8C"/>
    <w:rsid w:val="004E4EF7"/>
    <w:rsid w:val="004E5C28"/>
    <w:rsid w:val="004F371D"/>
    <w:rsid w:val="004F4F66"/>
    <w:rsid w:val="00512A5D"/>
    <w:rsid w:val="005150CA"/>
    <w:rsid w:val="005176D5"/>
    <w:rsid w:val="00525984"/>
    <w:rsid w:val="00542A23"/>
    <w:rsid w:val="00547B70"/>
    <w:rsid w:val="00550141"/>
    <w:rsid w:val="005524F7"/>
    <w:rsid w:val="00563C8F"/>
    <w:rsid w:val="00570D98"/>
    <w:rsid w:val="00572450"/>
    <w:rsid w:val="00573397"/>
    <w:rsid w:val="0057396C"/>
    <w:rsid w:val="00586E5C"/>
    <w:rsid w:val="00587578"/>
    <w:rsid w:val="005928C0"/>
    <w:rsid w:val="005968E7"/>
    <w:rsid w:val="005A372B"/>
    <w:rsid w:val="005A608A"/>
    <w:rsid w:val="005B2162"/>
    <w:rsid w:val="005B7609"/>
    <w:rsid w:val="005B7BB4"/>
    <w:rsid w:val="005D0B60"/>
    <w:rsid w:val="005D1148"/>
    <w:rsid w:val="005D259B"/>
    <w:rsid w:val="005D3636"/>
    <w:rsid w:val="005E4113"/>
    <w:rsid w:val="005F1C7F"/>
    <w:rsid w:val="005F6A3F"/>
    <w:rsid w:val="006004B3"/>
    <w:rsid w:val="006058F9"/>
    <w:rsid w:val="0061449E"/>
    <w:rsid w:val="00622BCE"/>
    <w:rsid w:val="0062675B"/>
    <w:rsid w:val="00632BE6"/>
    <w:rsid w:val="00634742"/>
    <w:rsid w:val="006403B6"/>
    <w:rsid w:val="006423D0"/>
    <w:rsid w:val="0064473B"/>
    <w:rsid w:val="0064584E"/>
    <w:rsid w:val="00647B06"/>
    <w:rsid w:val="00653DD0"/>
    <w:rsid w:val="006566EF"/>
    <w:rsid w:val="00660FBB"/>
    <w:rsid w:val="00663554"/>
    <w:rsid w:val="00664127"/>
    <w:rsid w:val="00666A79"/>
    <w:rsid w:val="006715FE"/>
    <w:rsid w:val="00674E81"/>
    <w:rsid w:val="00681FAF"/>
    <w:rsid w:val="0068310F"/>
    <w:rsid w:val="00694703"/>
    <w:rsid w:val="006A1BA5"/>
    <w:rsid w:val="006B3BEE"/>
    <w:rsid w:val="006B4AF1"/>
    <w:rsid w:val="006C5A96"/>
    <w:rsid w:val="006D10A9"/>
    <w:rsid w:val="006D3030"/>
    <w:rsid w:val="006E2153"/>
    <w:rsid w:val="006E6951"/>
    <w:rsid w:val="006E7F80"/>
    <w:rsid w:val="006F0CF2"/>
    <w:rsid w:val="006F6CE7"/>
    <w:rsid w:val="006F7B73"/>
    <w:rsid w:val="00704FE8"/>
    <w:rsid w:val="00705F3D"/>
    <w:rsid w:val="00706DDD"/>
    <w:rsid w:val="00710A04"/>
    <w:rsid w:val="00715468"/>
    <w:rsid w:val="007233F9"/>
    <w:rsid w:val="00723BB3"/>
    <w:rsid w:val="00724C05"/>
    <w:rsid w:val="00724DB1"/>
    <w:rsid w:val="00726CEE"/>
    <w:rsid w:val="00727C05"/>
    <w:rsid w:val="00730E86"/>
    <w:rsid w:val="00731C9A"/>
    <w:rsid w:val="00736F64"/>
    <w:rsid w:val="007415DE"/>
    <w:rsid w:val="007501C0"/>
    <w:rsid w:val="00754CD4"/>
    <w:rsid w:val="00760059"/>
    <w:rsid w:val="007602C4"/>
    <w:rsid w:val="0077058C"/>
    <w:rsid w:val="0077506E"/>
    <w:rsid w:val="007751EF"/>
    <w:rsid w:val="0077774F"/>
    <w:rsid w:val="00783DDC"/>
    <w:rsid w:val="00793B1A"/>
    <w:rsid w:val="00793F6F"/>
    <w:rsid w:val="007A281C"/>
    <w:rsid w:val="007B389F"/>
    <w:rsid w:val="007B42C6"/>
    <w:rsid w:val="007B587D"/>
    <w:rsid w:val="007C7967"/>
    <w:rsid w:val="007D317A"/>
    <w:rsid w:val="007D509F"/>
    <w:rsid w:val="007E0DA3"/>
    <w:rsid w:val="007E56CE"/>
    <w:rsid w:val="007F314A"/>
    <w:rsid w:val="007F7299"/>
    <w:rsid w:val="0080205D"/>
    <w:rsid w:val="00810A3B"/>
    <w:rsid w:val="0081774A"/>
    <w:rsid w:val="00827BB9"/>
    <w:rsid w:val="00835D1E"/>
    <w:rsid w:val="00856872"/>
    <w:rsid w:val="008574C6"/>
    <w:rsid w:val="0086091B"/>
    <w:rsid w:val="00876717"/>
    <w:rsid w:val="00877D73"/>
    <w:rsid w:val="0088360E"/>
    <w:rsid w:val="008924AD"/>
    <w:rsid w:val="008B29CD"/>
    <w:rsid w:val="008B6434"/>
    <w:rsid w:val="008C1F9B"/>
    <w:rsid w:val="008C232E"/>
    <w:rsid w:val="008D260A"/>
    <w:rsid w:val="008E0A01"/>
    <w:rsid w:val="008E7DBD"/>
    <w:rsid w:val="008F2A9E"/>
    <w:rsid w:val="00901CCA"/>
    <w:rsid w:val="009033FE"/>
    <w:rsid w:val="00904021"/>
    <w:rsid w:val="00912965"/>
    <w:rsid w:val="00921BE5"/>
    <w:rsid w:val="00926E3C"/>
    <w:rsid w:val="00935D6B"/>
    <w:rsid w:val="00940D3D"/>
    <w:rsid w:val="009422C2"/>
    <w:rsid w:val="0095114D"/>
    <w:rsid w:val="00952F63"/>
    <w:rsid w:val="0095470F"/>
    <w:rsid w:val="009552CD"/>
    <w:rsid w:val="00955CD7"/>
    <w:rsid w:val="0096134C"/>
    <w:rsid w:val="00966374"/>
    <w:rsid w:val="009669DB"/>
    <w:rsid w:val="009720F2"/>
    <w:rsid w:val="00974F1B"/>
    <w:rsid w:val="00977E0F"/>
    <w:rsid w:val="0098276E"/>
    <w:rsid w:val="0098575E"/>
    <w:rsid w:val="009870DD"/>
    <w:rsid w:val="00994273"/>
    <w:rsid w:val="009A32FA"/>
    <w:rsid w:val="009A6B49"/>
    <w:rsid w:val="009C061D"/>
    <w:rsid w:val="009C1806"/>
    <w:rsid w:val="009C2D82"/>
    <w:rsid w:val="009D0E56"/>
    <w:rsid w:val="009D5FF0"/>
    <w:rsid w:val="009D7978"/>
    <w:rsid w:val="009F4F7F"/>
    <w:rsid w:val="009F7397"/>
    <w:rsid w:val="00A025DA"/>
    <w:rsid w:val="00A03D5D"/>
    <w:rsid w:val="00A10EAD"/>
    <w:rsid w:val="00A17EC1"/>
    <w:rsid w:val="00A23098"/>
    <w:rsid w:val="00A24C98"/>
    <w:rsid w:val="00A44B02"/>
    <w:rsid w:val="00A44C71"/>
    <w:rsid w:val="00A45506"/>
    <w:rsid w:val="00A511F2"/>
    <w:rsid w:val="00A539EE"/>
    <w:rsid w:val="00A54431"/>
    <w:rsid w:val="00A5797C"/>
    <w:rsid w:val="00A70353"/>
    <w:rsid w:val="00A70B79"/>
    <w:rsid w:val="00A70FB8"/>
    <w:rsid w:val="00A71825"/>
    <w:rsid w:val="00A73A1A"/>
    <w:rsid w:val="00A819A7"/>
    <w:rsid w:val="00A85629"/>
    <w:rsid w:val="00A85632"/>
    <w:rsid w:val="00A92915"/>
    <w:rsid w:val="00A93C90"/>
    <w:rsid w:val="00AA0B44"/>
    <w:rsid w:val="00AA213B"/>
    <w:rsid w:val="00AA716C"/>
    <w:rsid w:val="00AB26C5"/>
    <w:rsid w:val="00AB77B6"/>
    <w:rsid w:val="00AC3BBF"/>
    <w:rsid w:val="00AC742A"/>
    <w:rsid w:val="00AD0B98"/>
    <w:rsid w:val="00AD33D8"/>
    <w:rsid w:val="00AE0A33"/>
    <w:rsid w:val="00AE6080"/>
    <w:rsid w:val="00AF0457"/>
    <w:rsid w:val="00B07F40"/>
    <w:rsid w:val="00B131E0"/>
    <w:rsid w:val="00B14E14"/>
    <w:rsid w:val="00B23C89"/>
    <w:rsid w:val="00B25563"/>
    <w:rsid w:val="00B3014C"/>
    <w:rsid w:val="00B30DF2"/>
    <w:rsid w:val="00B36602"/>
    <w:rsid w:val="00B42127"/>
    <w:rsid w:val="00B4219A"/>
    <w:rsid w:val="00B5056C"/>
    <w:rsid w:val="00B51366"/>
    <w:rsid w:val="00B5452B"/>
    <w:rsid w:val="00B6012B"/>
    <w:rsid w:val="00B746EC"/>
    <w:rsid w:val="00B7486A"/>
    <w:rsid w:val="00B7539F"/>
    <w:rsid w:val="00B765C8"/>
    <w:rsid w:val="00B87106"/>
    <w:rsid w:val="00B872A6"/>
    <w:rsid w:val="00B93B3E"/>
    <w:rsid w:val="00B9554C"/>
    <w:rsid w:val="00BA33F7"/>
    <w:rsid w:val="00BB1ACF"/>
    <w:rsid w:val="00BB52C4"/>
    <w:rsid w:val="00BB5403"/>
    <w:rsid w:val="00BB7A1C"/>
    <w:rsid w:val="00BB7F45"/>
    <w:rsid w:val="00BC0693"/>
    <w:rsid w:val="00BD073D"/>
    <w:rsid w:val="00BE1395"/>
    <w:rsid w:val="00BE1905"/>
    <w:rsid w:val="00BE7D7C"/>
    <w:rsid w:val="00BE7F41"/>
    <w:rsid w:val="00BF38C4"/>
    <w:rsid w:val="00BF3B20"/>
    <w:rsid w:val="00BF497D"/>
    <w:rsid w:val="00BF519B"/>
    <w:rsid w:val="00C06932"/>
    <w:rsid w:val="00C07805"/>
    <w:rsid w:val="00C20EF4"/>
    <w:rsid w:val="00C275D3"/>
    <w:rsid w:val="00C303F3"/>
    <w:rsid w:val="00C3683F"/>
    <w:rsid w:val="00C42C03"/>
    <w:rsid w:val="00C65F89"/>
    <w:rsid w:val="00C7041F"/>
    <w:rsid w:val="00C709F2"/>
    <w:rsid w:val="00C70D02"/>
    <w:rsid w:val="00C743DC"/>
    <w:rsid w:val="00C91341"/>
    <w:rsid w:val="00C91FBF"/>
    <w:rsid w:val="00CA0793"/>
    <w:rsid w:val="00CA1F0B"/>
    <w:rsid w:val="00CB02FF"/>
    <w:rsid w:val="00CB4123"/>
    <w:rsid w:val="00CF6104"/>
    <w:rsid w:val="00D00EBD"/>
    <w:rsid w:val="00D01C75"/>
    <w:rsid w:val="00D21BBB"/>
    <w:rsid w:val="00D31E47"/>
    <w:rsid w:val="00D42B25"/>
    <w:rsid w:val="00D43818"/>
    <w:rsid w:val="00D44BCF"/>
    <w:rsid w:val="00D46242"/>
    <w:rsid w:val="00D54EF8"/>
    <w:rsid w:val="00D622A5"/>
    <w:rsid w:val="00D6770A"/>
    <w:rsid w:val="00D70C7B"/>
    <w:rsid w:val="00D73DD1"/>
    <w:rsid w:val="00D7477D"/>
    <w:rsid w:val="00D80939"/>
    <w:rsid w:val="00D84DF2"/>
    <w:rsid w:val="00D871EB"/>
    <w:rsid w:val="00D955AA"/>
    <w:rsid w:val="00DA7FAC"/>
    <w:rsid w:val="00DB1DB5"/>
    <w:rsid w:val="00DC4508"/>
    <w:rsid w:val="00DC5F95"/>
    <w:rsid w:val="00DD5B9F"/>
    <w:rsid w:val="00DE0388"/>
    <w:rsid w:val="00DE1977"/>
    <w:rsid w:val="00DE50FE"/>
    <w:rsid w:val="00DF00F0"/>
    <w:rsid w:val="00DF17A6"/>
    <w:rsid w:val="00DF1874"/>
    <w:rsid w:val="00E03309"/>
    <w:rsid w:val="00E04B29"/>
    <w:rsid w:val="00E148F3"/>
    <w:rsid w:val="00E31834"/>
    <w:rsid w:val="00E319E6"/>
    <w:rsid w:val="00E4122E"/>
    <w:rsid w:val="00E455FD"/>
    <w:rsid w:val="00E57599"/>
    <w:rsid w:val="00E62DEA"/>
    <w:rsid w:val="00E62F3C"/>
    <w:rsid w:val="00E64628"/>
    <w:rsid w:val="00E65A94"/>
    <w:rsid w:val="00E74EAF"/>
    <w:rsid w:val="00E752B2"/>
    <w:rsid w:val="00E84C79"/>
    <w:rsid w:val="00E86367"/>
    <w:rsid w:val="00E9468C"/>
    <w:rsid w:val="00EA07FA"/>
    <w:rsid w:val="00EA2E71"/>
    <w:rsid w:val="00EA7914"/>
    <w:rsid w:val="00EB72ED"/>
    <w:rsid w:val="00EC49CF"/>
    <w:rsid w:val="00EC4B41"/>
    <w:rsid w:val="00ED1215"/>
    <w:rsid w:val="00ED2DC7"/>
    <w:rsid w:val="00ED514D"/>
    <w:rsid w:val="00EE6DB4"/>
    <w:rsid w:val="00EF001A"/>
    <w:rsid w:val="00EF385A"/>
    <w:rsid w:val="00F026F6"/>
    <w:rsid w:val="00F05E39"/>
    <w:rsid w:val="00F111B4"/>
    <w:rsid w:val="00F27575"/>
    <w:rsid w:val="00F30F31"/>
    <w:rsid w:val="00F358C7"/>
    <w:rsid w:val="00F363DB"/>
    <w:rsid w:val="00F42301"/>
    <w:rsid w:val="00F46B6D"/>
    <w:rsid w:val="00F503DE"/>
    <w:rsid w:val="00F50C7E"/>
    <w:rsid w:val="00F51169"/>
    <w:rsid w:val="00F51D6B"/>
    <w:rsid w:val="00F54E16"/>
    <w:rsid w:val="00F61470"/>
    <w:rsid w:val="00F64BA4"/>
    <w:rsid w:val="00F72041"/>
    <w:rsid w:val="00F77991"/>
    <w:rsid w:val="00F80611"/>
    <w:rsid w:val="00F96F35"/>
    <w:rsid w:val="00FA2B81"/>
    <w:rsid w:val="00FA4AE5"/>
    <w:rsid w:val="00FA7990"/>
    <w:rsid w:val="00FA7CD0"/>
    <w:rsid w:val="00FB668C"/>
    <w:rsid w:val="00FC66AD"/>
    <w:rsid w:val="00FD192A"/>
    <w:rsid w:val="00FD30D9"/>
    <w:rsid w:val="00FE18F2"/>
    <w:rsid w:val="00FF10A8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7C4C3"/>
  <w15:chartTrackingRefBased/>
  <w15:docId w15:val="{BECA267E-4161-42F2-8AE0-4CAFBDB4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link w:val="ZkladntextodsazenChar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D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D192A"/>
    <w:rPr>
      <w:rFonts w:ascii="Courier New" w:hAnsi="Courier New" w:cs="Courier New"/>
    </w:rPr>
  </w:style>
  <w:style w:type="character" w:styleId="Odkaznakoment">
    <w:name w:val="annotation reference"/>
    <w:uiPriority w:val="99"/>
    <w:semiHidden/>
    <w:rsid w:val="005E41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E41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E4113"/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11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4113"/>
    <w:rPr>
      <w:rFonts w:ascii="Segoe UI" w:hAnsi="Segoe UI" w:cs="Segoe UI"/>
      <w:sz w:val="18"/>
      <w:szCs w:val="18"/>
      <w:lang w:val="cs-CZ" w:eastAsia="cs-CZ"/>
    </w:rPr>
  </w:style>
  <w:style w:type="character" w:customStyle="1" w:styleId="CommentTextChar">
    <w:name w:val="Comment Text Char"/>
    <w:semiHidden/>
    <w:locked/>
    <w:rsid w:val="00C70D02"/>
    <w:rPr>
      <w:rFonts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CB4123"/>
    <w:rPr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rsid w:val="00272CDE"/>
    <w:pPr>
      <w:ind w:left="720"/>
    </w:pPr>
  </w:style>
  <w:style w:type="paragraph" w:styleId="Normlnweb">
    <w:name w:val="Normal (Web)"/>
    <w:basedOn w:val="Normln"/>
    <w:rsid w:val="0064473B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220EF3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link w:val="Nadpis2"/>
    <w:rsid w:val="00220EF3"/>
    <w:rPr>
      <w:rFonts w:ascii="Arial" w:hAnsi="Arial" w:cs="Arial"/>
      <w:b/>
      <w:bCs/>
      <w:noProof/>
      <w:color w:val="000000"/>
      <w:shd w:val="clear" w:color="auto" w:fill="FFFFFF"/>
    </w:rPr>
  </w:style>
  <w:style w:type="character" w:customStyle="1" w:styleId="ZkladntextChar">
    <w:name w:val="Základní text Char"/>
    <w:link w:val="Zkladntext"/>
    <w:rsid w:val="00220EF3"/>
    <w:rPr>
      <w:rFonts w:ascii="Arial" w:hAnsi="Arial" w:cs="Arial"/>
      <w:shd w:val="clear" w:color="auto" w:fill="FFFFFF"/>
    </w:rPr>
  </w:style>
  <w:style w:type="table" w:styleId="Mkatabulky">
    <w:name w:val="Table Grid"/>
    <w:basedOn w:val="Normlntabulka"/>
    <w:uiPriority w:val="59"/>
    <w:rsid w:val="00A4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semiHidden/>
    <w:rsid w:val="00783DDC"/>
    <w:rPr>
      <w:rFonts w:ascii="Arial" w:hAnsi="Arial" w:cs="Arial"/>
      <w:i/>
      <w:iCs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D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D1E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9EEA-450F-4C86-84D3-A82FD0D3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1994</Words>
  <Characters>11771</Characters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2022-01-03T09:25:00Z</cp:lastPrinted>
  <dcterms:created xsi:type="dcterms:W3CDTF">2022-02-21T13:29:00Z</dcterms:created>
  <dcterms:modified xsi:type="dcterms:W3CDTF">2022-02-21T13:29:00Z</dcterms:modified>
</cp:coreProperties>
</file>