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F35A2" w14:textId="7191D30C" w:rsidR="00253B7A" w:rsidRDefault="00253B7A" w:rsidP="00253B7A">
      <w:pPr>
        <w:pStyle w:val="Nadpis1"/>
        <w:numPr>
          <w:ilvl w:val="0"/>
          <w:numId w:val="0"/>
        </w:numPr>
        <w:jc w:val="center"/>
        <w:rPr>
          <w:rFonts w:asciiTheme="minorHAnsi" w:hAnsiTheme="minorHAnsi" w:cstheme="minorHAnsi"/>
          <w:b/>
          <w:sz w:val="32"/>
          <w:szCs w:val="32"/>
          <w:u w:val="single"/>
        </w:rPr>
      </w:pPr>
      <w:bookmarkStart w:id="0" w:name="_GoBack"/>
      <w:bookmarkEnd w:id="0"/>
      <w:r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p>
    <w:p w14:paraId="6B5A55F4" w14:textId="617FABE5"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r w:rsidR="0078412D" w:rsidRPr="00187106">
        <w:rPr>
          <w:rFonts w:ascii="Calibri" w:hAnsi="Calibri" w:cs="Calibri"/>
          <w:b/>
          <w:szCs w:val="22"/>
        </w:rPr>
        <w:t>„</w:t>
      </w:r>
      <w:r w:rsidR="0078412D">
        <w:rPr>
          <w:rFonts w:asciiTheme="minorHAnsi" w:hAnsiTheme="minorHAnsi" w:cstheme="minorHAnsi"/>
          <w:b/>
          <w:szCs w:val="22"/>
        </w:rPr>
        <w:t xml:space="preserve">Rozvoj vodíkové mobility v Ostravě, 1. etapa - </w:t>
      </w:r>
      <w:r w:rsidR="0078412D" w:rsidRPr="00187106">
        <w:rPr>
          <w:rFonts w:ascii="Calibri" w:hAnsi="Calibri" w:cs="Calibri"/>
          <w:b/>
          <w:szCs w:val="22"/>
          <w:highlight w:val="yellow"/>
        </w:rPr>
        <w:t>…</w:t>
      </w:r>
      <w:r w:rsidR="0078412D">
        <w:rPr>
          <w:rFonts w:ascii="Calibri" w:hAnsi="Calibri" w:cs="Calibri"/>
          <w:b/>
          <w:szCs w:val="22"/>
        </w:rPr>
        <w:t xml:space="preserve">“ </w:t>
      </w:r>
      <w:r w:rsidR="0078412D" w:rsidRPr="00187106">
        <w:rPr>
          <w:rFonts w:ascii="Calibri" w:hAnsi="Calibri" w:cs="Calibri"/>
          <w:bCs/>
          <w:iCs/>
          <w:szCs w:val="22"/>
        </w:rPr>
        <w:t xml:space="preserve"> </w:t>
      </w:r>
      <w:r w:rsidR="0078412D" w:rsidRPr="00187106">
        <w:rPr>
          <w:rFonts w:ascii="Calibri" w:hAnsi="Calibri" w:cs="Calibri"/>
          <w:i/>
          <w:color w:val="000000"/>
          <w:szCs w:val="22"/>
          <w:highlight w:val="cyan"/>
        </w:rPr>
        <w:t>[</w:t>
      </w:r>
      <w:r w:rsidR="0078412D" w:rsidRPr="00187106">
        <w:rPr>
          <w:rFonts w:ascii="Calibri" w:hAnsi="Calibri" w:cs="Calibri"/>
          <w:i/>
          <w:iCs/>
          <w:szCs w:val="22"/>
          <w:highlight w:val="cyan"/>
        </w:rPr>
        <w:t>pozn.:</w:t>
      </w:r>
      <w:r w:rsidR="0078412D" w:rsidRPr="00187106">
        <w:rPr>
          <w:rFonts w:ascii="Calibri" w:hAnsi="Calibri" w:cs="Calibri"/>
          <w:szCs w:val="22"/>
          <w:highlight w:val="cyan"/>
        </w:rPr>
        <w:t xml:space="preserve"> </w:t>
      </w:r>
      <w:r w:rsidR="0078412D" w:rsidRPr="00187106">
        <w:rPr>
          <w:rFonts w:ascii="Calibri" w:hAnsi="Calibri" w:cs="Calibri"/>
          <w:i/>
          <w:color w:val="000000"/>
          <w:szCs w:val="22"/>
          <w:highlight w:val="cyan"/>
        </w:rPr>
        <w:t xml:space="preserve">dodavatel doplní </w:t>
      </w:r>
      <w:r w:rsidR="0078412D" w:rsidRPr="008F6CE2">
        <w:rPr>
          <w:rFonts w:ascii="Calibri" w:hAnsi="Calibri" w:cs="Calibri"/>
          <w:i/>
          <w:color w:val="000000"/>
          <w:szCs w:val="22"/>
          <w:highlight w:val="cyan"/>
        </w:rPr>
        <w:t>buď „</w:t>
      </w:r>
      <w:r w:rsidR="0078412D">
        <w:rPr>
          <w:rFonts w:ascii="Calibri" w:hAnsi="Calibri" w:cs="Calibri"/>
          <w:b/>
          <w:bCs/>
          <w:i/>
          <w:szCs w:val="22"/>
          <w:highlight w:val="cyan"/>
        </w:rPr>
        <w:t>stavební část</w:t>
      </w:r>
      <w:r w:rsidR="0078412D" w:rsidRPr="00187106">
        <w:rPr>
          <w:rFonts w:ascii="Calibri" w:hAnsi="Calibri" w:cs="Calibri"/>
          <w:i/>
          <w:color w:val="000000"/>
          <w:szCs w:val="22"/>
          <w:highlight w:val="cyan"/>
        </w:rPr>
        <w:t xml:space="preserve">“ nebo </w:t>
      </w:r>
      <w:r w:rsidR="0078412D" w:rsidRPr="00D11488">
        <w:rPr>
          <w:rFonts w:ascii="Calibri" w:hAnsi="Calibri" w:cs="Calibri"/>
          <w:i/>
          <w:color w:val="000000"/>
          <w:szCs w:val="22"/>
          <w:highlight w:val="cyan"/>
        </w:rPr>
        <w:t>„</w:t>
      </w:r>
      <w:r w:rsidR="0078412D">
        <w:rPr>
          <w:rFonts w:ascii="Calibri" w:hAnsi="Calibri" w:cs="Calibri"/>
          <w:b/>
          <w:bCs/>
          <w:i/>
          <w:szCs w:val="22"/>
          <w:highlight w:val="cyan"/>
        </w:rPr>
        <w:t>technologická část</w:t>
      </w:r>
      <w:r w:rsidR="0078412D" w:rsidRPr="00D11488">
        <w:rPr>
          <w:rFonts w:ascii="Calibri" w:hAnsi="Calibri" w:cs="Calibri"/>
          <w:i/>
          <w:color w:val="000000"/>
          <w:szCs w:val="22"/>
          <w:highlight w:val="cyan"/>
        </w:rPr>
        <w:t xml:space="preserve">“ </w:t>
      </w:r>
      <w:r w:rsidR="0078412D" w:rsidRPr="00187106">
        <w:rPr>
          <w:rFonts w:ascii="Calibri" w:hAnsi="Calibri" w:cs="Calibri"/>
          <w:i/>
          <w:color w:val="000000"/>
          <w:szCs w:val="22"/>
          <w:highlight w:val="cyan"/>
        </w:rPr>
        <w:t>podle toho pro kterou část zakázky tento dokument vyplňuje; dodavatel následně tuto poznámku smaže</w:t>
      </w:r>
      <w:r w:rsidR="0078412D" w:rsidRPr="00B63BC8">
        <w:rPr>
          <w:rFonts w:ascii="Calibri" w:hAnsi="Calibri" w:cs="Calibri"/>
          <w:i/>
          <w:color w:val="000000"/>
          <w:szCs w:val="22"/>
          <w:highlight w:val="cyan"/>
        </w:rPr>
        <w:t>]</w:t>
      </w:r>
      <w:r w:rsidR="0078412D" w:rsidRPr="00D11488" w:rsidDel="005F431F">
        <w:rPr>
          <w:rFonts w:asciiTheme="minorHAnsi" w:hAnsiTheme="minorHAnsi" w:cstheme="minorHAnsi"/>
          <w:b/>
          <w:szCs w:val="22"/>
        </w:rPr>
        <w:t xml:space="preserve"> </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731AFBBF"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001B0807">
        <w:rPr>
          <w:rFonts w:asciiTheme="minorHAnsi" w:hAnsiTheme="minorHAnsi" w:cstheme="minorHAnsi"/>
        </w:rPr>
        <w:t>:</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E1ED18C" w14:textId="77777777" w:rsidR="003D15BD" w:rsidRPr="00253B7A" w:rsidRDefault="003D15BD" w:rsidP="003D15BD">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sidRPr="00253B7A">
        <w:rPr>
          <w:rFonts w:asciiTheme="minorHAnsi" w:hAnsiTheme="minorHAnsi" w:cstheme="minorHAnsi"/>
          <w:sz w:val="22"/>
          <w:szCs w:val="22"/>
        </w:rPr>
        <w:tab/>
        <w:t xml:space="preserve">Vstup osob do objektů a jejich pohyb na pracovištích Dopravního podniku Ostrava a.s., vjezd vozidel </w:t>
      </w:r>
    </w:p>
    <w:p w14:paraId="2F59D029" w14:textId="3F5C652F" w:rsidR="003D15BD" w:rsidRPr="00253B7A"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dlouhodobě,</w:t>
      </w:r>
      <w:r w:rsidRPr="00253B7A">
        <w:rPr>
          <w:rFonts w:asciiTheme="minorHAnsi" w:hAnsiTheme="minorHAnsi" w:cstheme="minorHAnsi"/>
          <w:szCs w:val="22"/>
        </w:rPr>
        <w:t xml:space="preserve"> mohou vstupovat do objektů a pohybovat se na pracovištích </w:t>
      </w:r>
      <w:r w:rsidRPr="00253B7A">
        <w:rPr>
          <w:rFonts w:asciiTheme="minorHAnsi" w:hAnsiTheme="minorHAnsi" w:cstheme="minorHAnsi"/>
          <w:b/>
          <w:bCs/>
          <w:color w:val="000000"/>
          <w:szCs w:val="22"/>
        </w:rPr>
        <w:t>samostatně</w:t>
      </w:r>
      <w:r w:rsidRPr="00253B7A">
        <w:rPr>
          <w:rFonts w:asciiTheme="minorHAnsi" w:hAnsiTheme="minorHAnsi" w:cstheme="minorHAnsi"/>
          <w:color w:val="000000"/>
          <w:szCs w:val="22"/>
        </w:rPr>
        <w:t xml:space="preserve">, avšak musí v souladu s vnitřními předpisy Dopravního podniku Ostrava a.s. (dále jen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w:t>
      </w:r>
    </w:p>
    <w:p w14:paraId="239388BE" w14:textId="56A29C0E" w:rsidR="003D15BD" w:rsidRPr="00253B7A" w:rsidRDefault="003D15BD" w:rsidP="003D15BD">
      <w:pPr>
        <w:pStyle w:val="Zkladntextodsazen"/>
        <w:ind w:left="1080" w:hanging="360"/>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6DF19E50" w14:textId="3749B913" w:rsidR="003D15BD" w:rsidRPr="00253B7A" w:rsidRDefault="003D15BD" w:rsidP="003D15BD">
      <w:pPr>
        <w:ind w:left="1077" w:hanging="357"/>
        <w:rPr>
          <w:rFonts w:asciiTheme="minorHAnsi" w:hAnsiTheme="minorHAnsi" w:cstheme="minorHAnsi"/>
          <w:color w:val="000000"/>
          <w:szCs w:val="22"/>
        </w:rPr>
      </w:pPr>
      <w:r w:rsidRPr="00253B7A">
        <w:rPr>
          <w:rFonts w:asciiTheme="minorHAnsi" w:hAnsiTheme="minorHAnsi" w:cstheme="minorHAnsi"/>
          <w:color w:val="000000"/>
          <w:szCs w:val="22"/>
        </w:rPr>
        <w:t>-</w:t>
      </w:r>
      <w:r w:rsidRPr="00253B7A">
        <w:rPr>
          <w:rFonts w:asciiTheme="minorHAnsi" w:hAnsiTheme="minorHAnsi" w:cstheme="minorHAnsi"/>
          <w:color w:val="000000"/>
          <w:szCs w:val="22"/>
        </w:rPr>
        <w:tab/>
        <w:t xml:space="preserve">předkládat při každém vstupu do objektu dočasný osobní průkaz vydaný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w:t>
      </w:r>
    </w:p>
    <w:p w14:paraId="6953533A" w14:textId="224DEEA3" w:rsidR="003D15BD" w:rsidRPr="00253B7A" w:rsidRDefault="003D15BD" w:rsidP="003D15BD">
      <w:pPr>
        <w:numPr>
          <w:ilvl w:val="0"/>
          <w:numId w:val="18"/>
        </w:numPr>
        <w:tabs>
          <w:tab w:val="left" w:pos="720"/>
        </w:tabs>
        <w:spacing w:after="0"/>
        <w:rPr>
          <w:rFonts w:asciiTheme="minorHAnsi" w:hAnsiTheme="minorHAnsi" w:cstheme="minorHAnsi"/>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 xml:space="preserve">krátkodobě, </w:t>
      </w:r>
      <w:r w:rsidRPr="00253B7A">
        <w:rPr>
          <w:rFonts w:asciiTheme="minorHAnsi" w:hAnsiTheme="minorHAnsi" w:cstheme="minorHAnsi"/>
          <w:szCs w:val="22"/>
        </w:rPr>
        <w:t xml:space="preserve">mohou vstupovat do objektů a pohybovat se na pracovištích </w:t>
      </w:r>
      <w:r w:rsidRPr="00253B7A">
        <w:rPr>
          <w:rFonts w:asciiTheme="minorHAnsi" w:hAnsiTheme="minorHAnsi" w:cstheme="minorHAnsi"/>
          <w:b/>
          <w:bCs/>
          <w:szCs w:val="22"/>
        </w:rPr>
        <w:t>samostatně</w:t>
      </w:r>
      <w:r w:rsidRPr="00253B7A">
        <w:rPr>
          <w:rFonts w:asciiTheme="minorHAnsi" w:hAnsiTheme="minorHAnsi" w:cstheme="minorHAnsi"/>
          <w:szCs w:val="22"/>
        </w:rPr>
        <w:t xml:space="preserve">, avšak musí v souladu s vnitřními předpisy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3CACD520" w14:textId="22C8A9CD" w:rsidR="003D15BD" w:rsidRPr="00253B7A" w:rsidRDefault="003D15BD" w:rsidP="003D15BD">
      <w:pPr>
        <w:tabs>
          <w:tab w:val="left" w:pos="720"/>
        </w:tabs>
        <w:spacing w:after="0"/>
        <w:ind w:left="1078" w:hanging="420"/>
        <w:rPr>
          <w:rFonts w:asciiTheme="minorHAnsi" w:hAnsiTheme="minorHAnsi" w:cstheme="minorHAnsi"/>
          <w:szCs w:val="22"/>
        </w:rPr>
      </w:pPr>
      <w:r w:rsidRPr="00253B7A">
        <w:rPr>
          <w:rFonts w:asciiTheme="minorHAnsi" w:hAnsiTheme="minorHAnsi" w:cstheme="minorHAnsi"/>
          <w:szCs w:val="22"/>
        </w:rPr>
        <w:t xml:space="preserve"> -  </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p>
    <w:p w14:paraId="4D790C88" w14:textId="77777777" w:rsidR="003D15BD" w:rsidRPr="00253B7A"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253B7A">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253B7A" w:rsidRDefault="003D15BD" w:rsidP="003D15BD">
      <w:pPr>
        <w:numPr>
          <w:ilvl w:val="0"/>
          <w:numId w:val="18"/>
        </w:numPr>
        <w:spacing w:after="0"/>
        <w:ind w:left="658"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kteří </w:t>
      </w:r>
      <w:r w:rsidRPr="00253B7A">
        <w:rPr>
          <w:rFonts w:asciiTheme="minorHAnsi" w:hAnsiTheme="minorHAnsi" w:cstheme="minorHAnsi"/>
          <w:b/>
          <w:bCs/>
          <w:color w:val="000000"/>
          <w:szCs w:val="22"/>
        </w:rPr>
        <w:t xml:space="preserve">navštíví </w:t>
      </w:r>
      <w:r w:rsidRPr="00253B7A">
        <w:rPr>
          <w:rFonts w:asciiTheme="minorHAnsi" w:hAnsiTheme="minorHAnsi" w:cstheme="minorHAnsi"/>
          <w:color w:val="000000"/>
          <w:szCs w:val="22"/>
        </w:rPr>
        <w:t xml:space="preserve">pracoviště </w:t>
      </w:r>
      <w:r w:rsidRPr="00253B7A">
        <w:rPr>
          <w:rFonts w:asciiTheme="minorHAnsi" w:hAnsiTheme="minorHAnsi" w:cstheme="minorHAnsi"/>
          <w:b/>
          <w:bCs/>
          <w:color w:val="000000"/>
          <w:szCs w:val="22"/>
        </w:rPr>
        <w:t xml:space="preserve">jednorázově, </w:t>
      </w:r>
      <w:r w:rsidRPr="00253B7A">
        <w:rPr>
          <w:rFonts w:asciiTheme="minorHAnsi" w:hAnsiTheme="minorHAnsi" w:cstheme="minorHAnsi"/>
          <w:color w:val="000000"/>
          <w:szCs w:val="22"/>
        </w:rPr>
        <w:t xml:space="preserve">mohou v souladu s vnitřními předpisy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vstupovat do objektu a pohybovat se na pracovištích </w:t>
      </w:r>
      <w:r w:rsidRPr="00253B7A">
        <w:rPr>
          <w:rFonts w:asciiTheme="minorHAnsi" w:hAnsiTheme="minorHAnsi" w:cstheme="minorHAnsi"/>
          <w:b/>
          <w:bCs/>
          <w:color w:val="000000"/>
          <w:szCs w:val="22"/>
        </w:rPr>
        <w:t>pouze v doprovodu</w:t>
      </w:r>
      <w:r w:rsidRPr="00253B7A">
        <w:rPr>
          <w:rFonts w:asciiTheme="minorHAnsi" w:hAnsiTheme="minorHAnsi" w:cstheme="minorHAnsi"/>
          <w:color w:val="000000"/>
          <w:szCs w:val="22"/>
        </w:rPr>
        <w:t xml:space="preserve"> určeného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avšak musí:</w:t>
      </w:r>
    </w:p>
    <w:p w14:paraId="0DB0FC74" w14:textId="02B958C4" w:rsidR="003D15BD" w:rsidRPr="00253B7A" w:rsidRDefault="003D15BD" w:rsidP="003D15BD">
      <w:pPr>
        <w:pStyle w:val="Zkladntextodsazen3"/>
        <w:spacing w:after="120"/>
        <w:ind w:left="1077" w:hanging="357"/>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a tím za tuto návštěvu přebírá odpovědnost.</w:t>
      </w:r>
    </w:p>
    <w:p w14:paraId="59D1B459" w14:textId="77777777" w:rsidR="003D15BD" w:rsidRPr="00253B7A" w:rsidRDefault="003D15BD" w:rsidP="003D15BD">
      <w:pPr>
        <w:pStyle w:val="Odstavecseseznamem"/>
        <w:numPr>
          <w:ilvl w:val="0"/>
          <w:numId w:val="18"/>
        </w:numPr>
        <w:spacing w:after="0"/>
        <w:rPr>
          <w:rFonts w:asciiTheme="minorHAnsi" w:hAnsiTheme="minorHAnsi" w:cstheme="minorHAnsi"/>
          <w:szCs w:val="22"/>
        </w:rPr>
      </w:pPr>
      <w:r w:rsidRPr="00253B7A">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253B7A" w:rsidRDefault="003D15BD" w:rsidP="003D15BD">
      <w:pPr>
        <w:pStyle w:val="Odstavecseseznamem"/>
        <w:numPr>
          <w:ilvl w:val="0"/>
          <w:numId w:val="0"/>
        </w:numPr>
        <w:ind w:left="660"/>
        <w:rPr>
          <w:rFonts w:asciiTheme="minorHAnsi" w:hAnsiTheme="minorHAnsi" w:cstheme="minorHAnsi"/>
          <w:szCs w:val="22"/>
        </w:rPr>
      </w:pPr>
    </w:p>
    <w:p w14:paraId="7B638097" w14:textId="5AE6F7E2" w:rsidR="003D15BD" w:rsidRPr="00253B7A" w:rsidRDefault="003D15BD" w:rsidP="003D15BD">
      <w:pPr>
        <w:pStyle w:val="Odstavecseseznamem"/>
        <w:numPr>
          <w:ilvl w:val="0"/>
          <w:numId w:val="18"/>
        </w:numPr>
        <w:spacing w:before="240" w:after="0"/>
        <w:rPr>
          <w:rFonts w:asciiTheme="minorHAnsi" w:hAnsiTheme="minorHAnsi" w:cstheme="minorHAnsi"/>
          <w:szCs w:val="22"/>
        </w:rPr>
      </w:pPr>
      <w:r w:rsidRPr="00253B7A">
        <w:rPr>
          <w:rFonts w:asciiTheme="minorHAnsi" w:hAnsiTheme="minorHAnsi" w:cstheme="minorHAnsi"/>
          <w:szCs w:val="22"/>
        </w:rPr>
        <w:t xml:space="preserve">Fyzická ostraha je oprávněna provést kontrolu dopravního prostředku při vjezdu do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i při výjezdu z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3492661"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8522517" w14:textId="77777777"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Mimo provozní dobu v pracovních dnech od 6.00 do 22.00 hodin mohou osoby a vozidla druhé smluvní strany výjimečně vjíždět a pohybovat se v areálu  DPO pouze jako „návštěva“.</w:t>
      </w:r>
    </w:p>
    <w:p w14:paraId="2265B2A2"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3282AB12" w14:textId="69C077CF"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Návštěvě bude vjezd a pohyb v dopravním prostředku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povolen na základě ověření přítomnosti vedoucího navštěvovaného pracoviště a jeho souhlasu s návštěvou.</w:t>
      </w:r>
    </w:p>
    <w:p w14:paraId="59E9B08C"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EC9B1AA" w14:textId="57C53C5F" w:rsidR="006D163D" w:rsidRPr="00253B7A" w:rsidRDefault="003D15BD" w:rsidP="00253B7A">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V případě udělení souhlasu s návštěvou fyzická ostraha seznámí návštěvu s aktuální dopravní situací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zejména s určením trasy a místem k odstavení dopravního prostředku, a poté vpustí návštěvu do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AB17B0F" w14:textId="1FBF1F7D" w:rsidR="00716A20" w:rsidRPr="00253B7A" w:rsidRDefault="00716A20" w:rsidP="00716A20">
      <w:pPr>
        <w:ind w:left="360" w:hanging="360"/>
        <w:rPr>
          <w:rFonts w:asciiTheme="minorHAnsi" w:hAnsiTheme="minorHAnsi" w:cstheme="minorHAnsi"/>
          <w:b/>
          <w:bCs/>
          <w:color w:val="000000"/>
          <w:szCs w:val="22"/>
        </w:rPr>
      </w:pPr>
      <w:r w:rsidRPr="00253B7A">
        <w:rPr>
          <w:rFonts w:asciiTheme="minorHAnsi" w:hAnsiTheme="minorHAnsi" w:cstheme="minorHAnsi"/>
          <w:b/>
          <w:bCs/>
          <w:color w:val="000000"/>
          <w:szCs w:val="22"/>
        </w:rPr>
        <w:t>II.</w:t>
      </w:r>
      <w:r w:rsidRPr="00253B7A">
        <w:rPr>
          <w:rFonts w:asciiTheme="minorHAnsi" w:hAnsiTheme="minorHAnsi" w:cstheme="minorHAnsi"/>
          <w:b/>
          <w:bCs/>
          <w:color w:val="000000"/>
          <w:szCs w:val="22"/>
        </w:rPr>
        <w:tab/>
        <w:t xml:space="preserve">Podmínky pro vykonávání pracovní a jiné činnosti na pracovištích </w:t>
      </w:r>
      <w:r w:rsidR="00271FBB" w:rsidRPr="00253B7A">
        <w:rPr>
          <w:rFonts w:asciiTheme="minorHAnsi" w:hAnsiTheme="minorHAnsi" w:cstheme="minorHAnsi"/>
          <w:b/>
          <w:bCs/>
          <w:color w:val="000000"/>
          <w:szCs w:val="22"/>
        </w:rPr>
        <w:t>DPO</w:t>
      </w:r>
    </w:p>
    <w:p w14:paraId="45CAC00C" w14:textId="77777777" w:rsidR="00716A20" w:rsidRPr="00253B7A"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253B7A">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253B7A"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253B7A">
        <w:rPr>
          <w:rFonts w:asciiTheme="minorHAnsi" w:hAnsiTheme="minorHAnsi" w:cstheme="minorHAnsi"/>
          <w:color w:val="000000"/>
          <w:sz w:val="22"/>
          <w:szCs w:val="22"/>
        </w:rPr>
        <w:t xml:space="preserve">pokud budou na jednom pracovišti plnit pracovní úkoly zaměstnanci </w:t>
      </w:r>
      <w:r w:rsidRPr="00253B7A">
        <w:rPr>
          <w:rFonts w:asciiTheme="minorHAnsi" w:hAnsiTheme="minorHAnsi" w:cstheme="minorHAnsi"/>
          <w:sz w:val="22"/>
          <w:szCs w:val="22"/>
        </w:rPr>
        <w:t>druhé smluvní strany</w:t>
      </w:r>
      <w:r w:rsidRPr="00253B7A">
        <w:rPr>
          <w:rFonts w:asciiTheme="minorHAnsi" w:hAnsiTheme="minorHAnsi" w:cstheme="minorHAnsi"/>
          <w:color w:val="000000"/>
          <w:sz w:val="22"/>
          <w:szCs w:val="22"/>
        </w:rPr>
        <w:t xml:space="preserve"> i </w:t>
      </w:r>
      <w:r w:rsidR="00271FBB" w:rsidRPr="00253B7A">
        <w:rPr>
          <w:rFonts w:asciiTheme="minorHAnsi" w:hAnsiTheme="minorHAnsi" w:cstheme="minorHAnsi"/>
          <w:color w:val="000000"/>
          <w:sz w:val="22"/>
          <w:szCs w:val="22"/>
        </w:rPr>
        <w:t>DPO</w:t>
      </w:r>
      <w:r w:rsidRPr="00253B7A">
        <w:rPr>
          <w:rFonts w:asciiTheme="minorHAnsi" w:hAnsiTheme="minorHAnsi" w:cstheme="minorHAnsi"/>
          <w:color w:val="000000"/>
          <w:sz w:val="22"/>
          <w:szCs w:val="22"/>
        </w:rPr>
        <w:t xml:space="preserve">, jsou zaměstnavatelé povinni vzájemně se písemně informovat o rizicích a spolupracovat při zajišťování bezpečnosti a ochrany zdraví při práci, </w:t>
      </w:r>
      <w:r w:rsidRPr="00253B7A">
        <w:rPr>
          <w:rFonts w:asciiTheme="minorHAnsi" w:hAnsiTheme="minorHAnsi" w:cstheme="minorHAnsi"/>
          <w:sz w:val="22"/>
          <w:szCs w:val="22"/>
        </w:rPr>
        <w:t xml:space="preserve">podle ustanovení § 101 zákona č. 262/2006 Sb. (zákoník práce),   </w:t>
      </w:r>
    </w:p>
    <w:p w14:paraId="56DEF100" w14:textId="4BB45709"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c)</w:t>
      </w:r>
      <w:r w:rsidRPr="00253B7A">
        <w:rPr>
          <w:rFonts w:asciiTheme="minorHAnsi" w:hAnsiTheme="minorHAnsi" w:cstheme="minorHAnsi"/>
          <w:color w:val="000000"/>
          <w:szCs w:val="22"/>
        </w:rPr>
        <w:tab/>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nesmí být mladiství, musí mít pro činnost vykonávanou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41D07EBE" w14:textId="3CB073B0" w:rsidR="00716A20" w:rsidRPr="00253B7A" w:rsidRDefault="00716A20" w:rsidP="00716A20">
      <w:pPr>
        <w:numPr>
          <w:ilvl w:val="0"/>
          <w:numId w:val="21"/>
        </w:num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jsou při své činnosti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povinni dodržovat platné právní předpisy k zajištění bezpečnosti práce a požární ochrany včetně místních bezpečnostních předpisů (vnitřních norem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s nimiž byli řádně seznámeni, podrobit se na vyzvání oprávněného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při kontrolách a činnostech souvisejících se zajištěním BOZP spolupracovat s oprávněnými zaměstnanci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a řídit se jejich pokyny,</w:t>
      </w:r>
    </w:p>
    <w:p w14:paraId="769B0E85" w14:textId="44C9C60D"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e)</w:t>
      </w:r>
      <w:r w:rsidRPr="00253B7A">
        <w:rPr>
          <w:rFonts w:asciiTheme="minorHAnsi" w:hAnsiTheme="minorHAnsi" w:cstheme="minorHAnsi"/>
          <w:color w:val="000000"/>
          <w:szCs w:val="22"/>
        </w:rPr>
        <w:tab/>
        <w:t xml:space="preserve">v případě porušování předpisů k zajištění bezpečnosti práce a požární ochrany, pokynů oprávněných zaměstnanců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pozitivního výsledku dechové zkoušky na alkohol nebo při odmítnutí dechové zkoušky nebo lékařského vyšetření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na vyzvání ukončit pracovní nebo jinou činnost a ihned opustit pracoviště a objekty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D</w:t>
      </w:r>
      <w:r w:rsidRPr="00253B7A">
        <w:rPr>
          <w:rFonts w:asciiTheme="minorHAnsi" w:hAnsiTheme="minorHAnsi" w:cstheme="minorHAnsi"/>
          <w:szCs w:val="22"/>
        </w:rPr>
        <w:t>ruhá smluvní strana</w:t>
      </w:r>
      <w:r w:rsidRPr="00253B7A">
        <w:rPr>
          <w:rFonts w:asciiTheme="minorHAnsi" w:hAnsiTheme="minorHAnsi" w:cstheme="minorHAnsi"/>
          <w:color w:val="000000"/>
          <w:szCs w:val="22"/>
        </w:rPr>
        <w:t xml:space="preserve"> je povinna osobu vyloučenou z pracoviště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ihned nahradit jiným pracovníkem tak, aby plnění smlouvy mohlo řádně pokračovat.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 tomto případě neodpovídá za případné prodlení v plnění závazků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dle uzavřené smlouvy,</w:t>
      </w:r>
    </w:p>
    <w:p w14:paraId="3588F9CE" w14:textId="561FCF94" w:rsidR="00716A20" w:rsidRPr="00253B7A" w:rsidRDefault="00716A20" w:rsidP="00716A20">
      <w:pPr>
        <w:pStyle w:val="Zkladntext2"/>
        <w:ind w:left="720" w:hanging="360"/>
        <w:rPr>
          <w:rFonts w:asciiTheme="minorHAnsi" w:hAnsiTheme="minorHAnsi" w:cstheme="minorHAnsi"/>
          <w:szCs w:val="22"/>
        </w:rPr>
      </w:pPr>
      <w:r w:rsidRPr="00253B7A">
        <w:rPr>
          <w:rFonts w:asciiTheme="minorHAnsi" w:hAnsiTheme="minorHAnsi" w:cstheme="minorHAnsi"/>
          <w:szCs w:val="22"/>
        </w:rPr>
        <w:t>f)</w:t>
      </w:r>
      <w:r w:rsidRPr="00253B7A">
        <w:rPr>
          <w:rFonts w:asciiTheme="minorHAnsi" w:hAnsiTheme="minorHAnsi" w:cstheme="minorHAnsi"/>
          <w:szCs w:val="22"/>
        </w:rPr>
        <w:tab/>
        <w:t xml:space="preserve">za každý jednotlivě zjištěný případ porušení sjednaných podmínek nebo předpisů k zajištění BOZP je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oprávněn účtovat druhé smluvní straně smluvní pokutu ve výši 2.000,- Kč, a to v případě, že uzavřenou smlouvou nebude stanoveno jinak. Zaplacením smluvní pokuty není dotčeno </w:t>
      </w:r>
      <w:r w:rsidR="00E40E74" w:rsidRPr="00253B7A">
        <w:rPr>
          <w:rFonts w:asciiTheme="minorHAnsi" w:hAnsiTheme="minorHAnsi" w:cstheme="minorHAnsi"/>
          <w:szCs w:val="22"/>
        </w:rPr>
        <w:t xml:space="preserve">ani omezeno </w:t>
      </w:r>
      <w:r w:rsidRPr="00253B7A">
        <w:rPr>
          <w:rFonts w:asciiTheme="minorHAnsi" w:hAnsiTheme="minorHAnsi" w:cstheme="minorHAnsi"/>
          <w:szCs w:val="22"/>
        </w:rPr>
        <w:t xml:space="preserve">právo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C9CE1" w14:textId="77777777" w:rsidR="0051497F" w:rsidRDefault="0051497F" w:rsidP="00360830">
      <w:r>
        <w:separator/>
      </w:r>
    </w:p>
  </w:endnote>
  <w:endnote w:type="continuationSeparator" w:id="0">
    <w:p w14:paraId="6799ABF2" w14:textId="77777777" w:rsidR="0051497F" w:rsidRDefault="0051497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327B85F5" w:rsidR="009A6B24" w:rsidRDefault="0051497F"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4A77B5" w:rsidRPr="004A77B5">
              <w:rPr>
                <w:i/>
              </w:rPr>
              <w:t>„</w:t>
            </w:r>
            <w:r w:rsidR="008D1C18" w:rsidRPr="008D1C18">
              <w:rPr>
                <w:bCs/>
                <w:i/>
                <w:szCs w:val="22"/>
              </w:rPr>
              <w:t>Rozvoj vodíkové mobility v Ostravě, 1. etapa</w:t>
            </w:r>
            <w:r w:rsidR="004A77B5" w:rsidRPr="004A77B5">
              <w:rPr>
                <w:i/>
              </w:rPr>
              <w:t>“</w:t>
            </w:r>
            <w:r w:rsidR="00396176">
              <w:rPr>
                <w:b/>
              </w:rPr>
              <w:tab/>
            </w:r>
            <w:r w:rsidR="009A6B24" w:rsidRPr="00F539F2">
              <w:t xml:space="preserve">strana </w:t>
            </w:r>
            <w:r w:rsidR="00B93818">
              <w:fldChar w:fldCharType="begin"/>
            </w:r>
            <w:r w:rsidR="00B93818">
              <w:instrText>PAGE</w:instrText>
            </w:r>
            <w:r w:rsidR="00B93818">
              <w:fldChar w:fldCharType="separate"/>
            </w:r>
            <w:r w:rsidR="009264D1">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sidR="009264D1">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71ED7107" w:rsidR="009A6B24" w:rsidRDefault="0051497F"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sidRPr="008D1C18">
              <w:rPr>
                <w:bCs/>
                <w:i/>
                <w:szCs w:val="22"/>
              </w:rPr>
              <w:t>„</w:t>
            </w:r>
            <w:r w:rsidR="008D1C18" w:rsidRPr="008D1C18">
              <w:rPr>
                <w:bCs/>
                <w:i/>
                <w:szCs w:val="22"/>
              </w:rPr>
              <w:t>Rozvoj vodíkové mobility v Ostravě, 1. etapa</w:t>
            </w:r>
            <w:r w:rsidR="00396176" w:rsidRPr="004A77B5">
              <w:rPr>
                <w:i/>
              </w:rPr>
              <w:t>“</w:t>
            </w:r>
            <w:r w:rsidR="00396176">
              <w:rPr>
                <w:b/>
              </w:rPr>
              <w:tab/>
            </w:r>
            <w:r w:rsidR="009A6B24" w:rsidRPr="001526C2">
              <w:t xml:space="preserve">strana </w:t>
            </w:r>
            <w:r w:rsidR="00B93818">
              <w:fldChar w:fldCharType="begin"/>
            </w:r>
            <w:r w:rsidR="00B93818">
              <w:instrText>PAGE</w:instrText>
            </w:r>
            <w:r w:rsidR="00B93818">
              <w:fldChar w:fldCharType="separate"/>
            </w:r>
            <w:r w:rsidR="009264D1">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sidR="009264D1">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2D5DD" w14:textId="77777777" w:rsidR="0051497F" w:rsidRDefault="0051497F" w:rsidP="00360830">
      <w:r>
        <w:separator/>
      </w:r>
    </w:p>
  </w:footnote>
  <w:footnote w:type="continuationSeparator" w:id="0">
    <w:p w14:paraId="6672AFF8" w14:textId="77777777" w:rsidR="0051497F" w:rsidRDefault="0051497F"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7A219DBF" w:rsidR="009A6B24" w:rsidRPr="00253B7A" w:rsidRDefault="00BD739A" w:rsidP="00253B7A">
    <w:pPr>
      <w:pStyle w:val="Zhlav"/>
      <w:spacing w:after="0"/>
      <w:jc w:val="left"/>
      <w:rPr>
        <w:i/>
        <w:iCs/>
        <w:sz w:val="24"/>
        <w:szCs w:val="24"/>
      </w:rPr>
    </w:pPr>
    <w:r w:rsidRPr="00253B7A">
      <w:rPr>
        <w:i/>
        <w:iCs/>
      </w:rPr>
      <w:t xml:space="preserve">Příloha č. </w:t>
    </w:r>
    <w:r w:rsidR="00B551BD" w:rsidRPr="00253B7A">
      <w:rPr>
        <w:i/>
        <w:iCs/>
      </w:rPr>
      <w:t>1</w:t>
    </w:r>
    <w:r w:rsidR="00253B7A" w:rsidRPr="00253B7A">
      <w:rPr>
        <w:i/>
        <w:iCs/>
      </w:rPr>
      <w:t>0</w:t>
    </w:r>
    <w:r w:rsidRPr="00253B7A">
      <w:rPr>
        <w:i/>
        <w:iCs/>
      </w:rPr>
      <w:t xml:space="preserve"> ZD</w:t>
    </w:r>
    <w:r w:rsidR="00253B7A">
      <w:rPr>
        <w:i/>
        <w:iCs/>
      </w:rPr>
      <w:t xml:space="preserve"> – Základní požadavky k zajištění BOZP</w:t>
    </w: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ocumentProtection w:edit="readOnly"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26D4A"/>
    <w:rsid w:val="00043150"/>
    <w:rsid w:val="0006354D"/>
    <w:rsid w:val="0007345D"/>
    <w:rsid w:val="0009773C"/>
    <w:rsid w:val="000A59BF"/>
    <w:rsid w:val="000C4E61"/>
    <w:rsid w:val="000C5B9D"/>
    <w:rsid w:val="000D25B9"/>
    <w:rsid w:val="00110139"/>
    <w:rsid w:val="00133623"/>
    <w:rsid w:val="00145A19"/>
    <w:rsid w:val="001526C2"/>
    <w:rsid w:val="001631D6"/>
    <w:rsid w:val="00171707"/>
    <w:rsid w:val="001A45E7"/>
    <w:rsid w:val="001B0807"/>
    <w:rsid w:val="001B3CDB"/>
    <w:rsid w:val="001C125D"/>
    <w:rsid w:val="001E4DD0"/>
    <w:rsid w:val="001F4922"/>
    <w:rsid w:val="001F4F7D"/>
    <w:rsid w:val="0022495B"/>
    <w:rsid w:val="00230E86"/>
    <w:rsid w:val="00232D7D"/>
    <w:rsid w:val="00242A3A"/>
    <w:rsid w:val="00253B7A"/>
    <w:rsid w:val="00271EB9"/>
    <w:rsid w:val="00271FBB"/>
    <w:rsid w:val="002763B6"/>
    <w:rsid w:val="00276D8B"/>
    <w:rsid w:val="0029663E"/>
    <w:rsid w:val="002A4CFB"/>
    <w:rsid w:val="002B2000"/>
    <w:rsid w:val="002B73A0"/>
    <w:rsid w:val="002C08F2"/>
    <w:rsid w:val="002C1ACF"/>
    <w:rsid w:val="002C3DE4"/>
    <w:rsid w:val="003008B5"/>
    <w:rsid w:val="003078A2"/>
    <w:rsid w:val="003243C8"/>
    <w:rsid w:val="003315AA"/>
    <w:rsid w:val="00360830"/>
    <w:rsid w:val="00362826"/>
    <w:rsid w:val="00370917"/>
    <w:rsid w:val="00396176"/>
    <w:rsid w:val="003B74C1"/>
    <w:rsid w:val="003C0EB6"/>
    <w:rsid w:val="003C55AE"/>
    <w:rsid w:val="003D02B6"/>
    <w:rsid w:val="003D0F65"/>
    <w:rsid w:val="003D15BD"/>
    <w:rsid w:val="003F2FA4"/>
    <w:rsid w:val="003F530B"/>
    <w:rsid w:val="00402549"/>
    <w:rsid w:val="00450110"/>
    <w:rsid w:val="004661F2"/>
    <w:rsid w:val="00485886"/>
    <w:rsid w:val="00497284"/>
    <w:rsid w:val="004A77B5"/>
    <w:rsid w:val="004B2C8D"/>
    <w:rsid w:val="004B3F23"/>
    <w:rsid w:val="004D0094"/>
    <w:rsid w:val="004D0A2A"/>
    <w:rsid w:val="004E24FA"/>
    <w:rsid w:val="004E694D"/>
    <w:rsid w:val="004F5F64"/>
    <w:rsid w:val="0051285C"/>
    <w:rsid w:val="0051497F"/>
    <w:rsid w:val="005306E0"/>
    <w:rsid w:val="00531695"/>
    <w:rsid w:val="005429C7"/>
    <w:rsid w:val="00555AAB"/>
    <w:rsid w:val="00562A8D"/>
    <w:rsid w:val="0056468A"/>
    <w:rsid w:val="00567EF7"/>
    <w:rsid w:val="005738FC"/>
    <w:rsid w:val="005A5FEA"/>
    <w:rsid w:val="005B1387"/>
    <w:rsid w:val="005F709A"/>
    <w:rsid w:val="00614136"/>
    <w:rsid w:val="006207E2"/>
    <w:rsid w:val="00644EA3"/>
    <w:rsid w:val="0065709A"/>
    <w:rsid w:val="006732BA"/>
    <w:rsid w:val="0068199D"/>
    <w:rsid w:val="00695E4E"/>
    <w:rsid w:val="006B6270"/>
    <w:rsid w:val="006D163D"/>
    <w:rsid w:val="00716A20"/>
    <w:rsid w:val="007204E1"/>
    <w:rsid w:val="00722C98"/>
    <w:rsid w:val="007417BF"/>
    <w:rsid w:val="0078412D"/>
    <w:rsid w:val="00794F98"/>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B4CF4"/>
    <w:rsid w:val="008B538C"/>
    <w:rsid w:val="008D1C18"/>
    <w:rsid w:val="008F0855"/>
    <w:rsid w:val="009163F5"/>
    <w:rsid w:val="009264D1"/>
    <w:rsid w:val="00932BB7"/>
    <w:rsid w:val="00962141"/>
    <w:rsid w:val="00966664"/>
    <w:rsid w:val="0098101F"/>
    <w:rsid w:val="009A6B24"/>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D0597"/>
    <w:rsid w:val="00AD4108"/>
    <w:rsid w:val="00AE6084"/>
    <w:rsid w:val="00AF2968"/>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6088A"/>
    <w:rsid w:val="00C72D24"/>
    <w:rsid w:val="00CA1A2F"/>
    <w:rsid w:val="00CB5F7B"/>
    <w:rsid w:val="00CE0465"/>
    <w:rsid w:val="00CE6C4F"/>
    <w:rsid w:val="00CF7595"/>
    <w:rsid w:val="00D1155F"/>
    <w:rsid w:val="00D24B69"/>
    <w:rsid w:val="00D527A9"/>
    <w:rsid w:val="00D55FFC"/>
    <w:rsid w:val="00D85B54"/>
    <w:rsid w:val="00D92C11"/>
    <w:rsid w:val="00D944C9"/>
    <w:rsid w:val="00DB64BA"/>
    <w:rsid w:val="00DC255F"/>
    <w:rsid w:val="00DF3CFF"/>
    <w:rsid w:val="00E40E74"/>
    <w:rsid w:val="00E66AC2"/>
    <w:rsid w:val="00E92E61"/>
    <w:rsid w:val="00E97538"/>
    <w:rsid w:val="00EA6B11"/>
    <w:rsid w:val="00EB74CE"/>
    <w:rsid w:val="00EC3581"/>
    <w:rsid w:val="00EC7FE4"/>
    <w:rsid w:val="00EE2F17"/>
    <w:rsid w:val="00F04EA3"/>
    <w:rsid w:val="00F234B1"/>
    <w:rsid w:val="00F26F99"/>
    <w:rsid w:val="00F539F2"/>
    <w:rsid w:val="00F7509E"/>
    <w:rsid w:val="00F833E7"/>
    <w:rsid w:val="00F86022"/>
    <w:rsid w:val="00F87B6F"/>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78412D"/>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42779-8240-4AA5-90E4-678826E28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4947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Hýža David, Ing.</cp:lastModifiedBy>
  <cp:revision>3</cp:revision>
  <cp:lastPrinted>2015-04-20T05:50:00Z</cp:lastPrinted>
  <dcterms:created xsi:type="dcterms:W3CDTF">2022-01-14T13:01:00Z</dcterms:created>
  <dcterms:modified xsi:type="dcterms:W3CDTF">2022-01-14T14:28:00Z</dcterms:modified>
</cp:coreProperties>
</file>