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6327" w14:textId="3A25A6F3" w:rsidR="005E4C30" w:rsidRPr="006E337B" w:rsidRDefault="005E4C30" w:rsidP="00594234">
      <w:pPr>
        <w:pStyle w:val="Zhlav"/>
        <w:jc w:val="both"/>
        <w:rPr>
          <w:rFonts w:ascii="Garamond" w:hAnsi="Garamond"/>
        </w:rPr>
      </w:pPr>
      <w:r w:rsidRPr="006E337B">
        <w:rPr>
          <w:rFonts w:ascii="Garamond" w:hAnsi="Garamond"/>
          <w:b/>
          <w:bCs/>
          <w:u w:val="single"/>
        </w:rPr>
        <w:t xml:space="preserve">Příloha č. </w:t>
      </w:r>
      <w:r w:rsidR="00644CB5">
        <w:rPr>
          <w:rFonts w:ascii="Garamond" w:hAnsi="Garamond"/>
          <w:b/>
          <w:bCs/>
          <w:u w:val="single"/>
        </w:rPr>
        <w:t>4</w:t>
      </w:r>
      <w:r w:rsidRPr="006E337B">
        <w:rPr>
          <w:rFonts w:ascii="Garamond" w:hAnsi="Garamond"/>
          <w:b/>
          <w:bCs/>
        </w:rPr>
        <w:t xml:space="preserve"> </w:t>
      </w:r>
      <w:r w:rsidR="00644CB5">
        <w:rPr>
          <w:rFonts w:ascii="Garamond" w:hAnsi="Garamond"/>
        </w:rPr>
        <w:t xml:space="preserve">Výzvy k veřejné zakázce s názvem </w:t>
      </w:r>
      <w:r w:rsidR="00030C45">
        <w:rPr>
          <w:rFonts w:ascii="Garamond" w:hAnsi="Garamond"/>
        </w:rPr>
        <w:t>„</w:t>
      </w:r>
      <w:r w:rsidR="000C5F16">
        <w:rPr>
          <w:rFonts w:ascii="Garamond" w:hAnsi="Garamond"/>
        </w:rPr>
        <w:t>Konstrukční práce mechanika</w:t>
      </w:r>
      <w:r w:rsidR="00030C45">
        <w:rPr>
          <w:rFonts w:ascii="Garamond" w:hAnsi="Garamond"/>
        </w:rPr>
        <w:t>“</w:t>
      </w:r>
    </w:p>
    <w:p w14:paraId="380EBED0" w14:textId="77777777" w:rsidR="00121671" w:rsidRPr="006E337B" w:rsidRDefault="00121671" w:rsidP="005E4C30">
      <w:pPr>
        <w:pStyle w:val="Zhlav"/>
        <w:jc w:val="both"/>
        <w:rPr>
          <w:rFonts w:ascii="Garamond" w:hAnsi="Garamond"/>
        </w:rPr>
      </w:pPr>
    </w:p>
    <w:p w14:paraId="28BAFDC4" w14:textId="77777777" w:rsidR="00121671" w:rsidRPr="006E337B" w:rsidRDefault="00121671" w:rsidP="005E4C30">
      <w:pPr>
        <w:pStyle w:val="Zhlav"/>
        <w:jc w:val="both"/>
        <w:rPr>
          <w:rFonts w:ascii="Garamond" w:hAnsi="Garamond"/>
        </w:rPr>
      </w:pPr>
    </w:p>
    <w:p w14:paraId="28A617A1" w14:textId="21B26683" w:rsidR="005E4C30" w:rsidRPr="006E337B" w:rsidRDefault="00FB4FFE" w:rsidP="005E4C30">
      <w:pPr>
        <w:pStyle w:val="Zhlav"/>
        <w:jc w:val="both"/>
        <w:rPr>
          <w:rFonts w:ascii="Garamond" w:hAnsi="Garamond"/>
        </w:rPr>
      </w:pPr>
      <w:r w:rsidRPr="006E337B">
        <w:rPr>
          <w:rFonts w:ascii="Garamond" w:hAnsi="Garamond"/>
        </w:rPr>
        <w:t xml:space="preserve">Příloha č. </w:t>
      </w:r>
      <w:r w:rsidR="00644CB5">
        <w:rPr>
          <w:rFonts w:ascii="Garamond" w:hAnsi="Garamond"/>
        </w:rPr>
        <w:t>4</w:t>
      </w:r>
      <w:r w:rsidR="005E4C30" w:rsidRPr="006E337B">
        <w:rPr>
          <w:rFonts w:ascii="Garamond" w:hAnsi="Garamond"/>
        </w:rPr>
        <w:t xml:space="preserve"> obsahuje:</w:t>
      </w:r>
    </w:p>
    <w:p w14:paraId="34A5F1A2" w14:textId="0A42A7AE" w:rsidR="005E4C30" w:rsidRPr="006E337B" w:rsidRDefault="006E337B" w:rsidP="006E337B">
      <w:pPr>
        <w:pStyle w:val="Default"/>
        <w:numPr>
          <w:ilvl w:val="0"/>
          <w:numId w:val="6"/>
        </w:numPr>
        <w:rPr>
          <w:rFonts w:ascii="Garamond" w:hAnsi="Garamond"/>
          <w:b/>
          <w:bCs/>
          <w:sz w:val="28"/>
          <w:szCs w:val="28"/>
        </w:rPr>
      </w:pPr>
      <w:r w:rsidRPr="006E337B">
        <w:rPr>
          <w:rFonts w:ascii="Garamond" w:hAnsi="Garamond" w:cstheme="minorBidi"/>
          <w:color w:val="auto"/>
          <w:sz w:val="22"/>
          <w:szCs w:val="22"/>
        </w:rPr>
        <w:t>Kontrolní list pro vyhodnocení sociálního a environmentálního odpovědného zadávání a inovací ve veřejné zakázce</w:t>
      </w:r>
    </w:p>
    <w:p w14:paraId="5D339663" w14:textId="77777777" w:rsidR="005E4C30" w:rsidRPr="006E337B" w:rsidRDefault="005E4C30" w:rsidP="0066396D">
      <w:pPr>
        <w:pStyle w:val="Default"/>
        <w:jc w:val="center"/>
        <w:rPr>
          <w:rFonts w:ascii="Garamond" w:hAnsi="Garamond"/>
          <w:b/>
          <w:bCs/>
          <w:sz w:val="28"/>
          <w:szCs w:val="28"/>
        </w:rPr>
      </w:pPr>
    </w:p>
    <w:p w14:paraId="1F1D3932" w14:textId="77777777" w:rsidR="005E4C30" w:rsidRPr="006E337B" w:rsidRDefault="005E4C30" w:rsidP="0066396D">
      <w:pPr>
        <w:pStyle w:val="Default"/>
        <w:jc w:val="center"/>
        <w:rPr>
          <w:rFonts w:ascii="Garamond" w:hAnsi="Garamond"/>
          <w:b/>
          <w:bCs/>
          <w:sz w:val="28"/>
          <w:szCs w:val="28"/>
        </w:rPr>
      </w:pPr>
    </w:p>
    <w:p w14:paraId="72DD7806" w14:textId="3552849A" w:rsidR="000C5F16" w:rsidRDefault="000C5F16" w:rsidP="000C5F16">
      <w:pPr>
        <w:tabs>
          <w:tab w:val="left" w:pos="3585"/>
        </w:tabs>
        <w:rPr>
          <w:rFonts w:ascii="Garamond" w:hAnsi="Garamond"/>
          <w:b/>
          <w:bCs/>
          <w:sz w:val="28"/>
          <w:szCs w:val="28"/>
        </w:rPr>
      </w:pPr>
      <w:r>
        <w:rPr>
          <w:rFonts w:ascii="Garamond" w:hAnsi="Garamond"/>
          <w:b/>
          <w:bCs/>
          <w:sz w:val="28"/>
          <w:szCs w:val="28"/>
        </w:rPr>
        <w:tab/>
      </w:r>
    </w:p>
    <w:p w14:paraId="3F27F5DA" w14:textId="1ADB872D" w:rsidR="00121671" w:rsidRPr="006E337B" w:rsidRDefault="00121671" w:rsidP="000C5F16">
      <w:pPr>
        <w:tabs>
          <w:tab w:val="left" w:pos="3585"/>
        </w:tabs>
        <w:rPr>
          <w:rFonts w:ascii="Garamond" w:hAnsi="Garamond" w:cs="Times New Roman"/>
          <w:b/>
          <w:bCs/>
          <w:color w:val="000000"/>
          <w:sz w:val="28"/>
          <w:szCs w:val="28"/>
        </w:rPr>
      </w:pPr>
      <w:r w:rsidRPr="000C5F16">
        <w:rPr>
          <w:rFonts w:ascii="Garamond" w:hAnsi="Garamond"/>
          <w:sz w:val="28"/>
          <w:szCs w:val="28"/>
        </w:rPr>
        <w:br w:type="page"/>
      </w:r>
      <w:r w:rsidR="000C5F16">
        <w:rPr>
          <w:rFonts w:ascii="Garamond" w:hAnsi="Garamond"/>
          <w:b/>
          <w:bCs/>
          <w:sz w:val="28"/>
          <w:szCs w:val="28"/>
        </w:rPr>
        <w:lastRenderedPageBreak/>
        <w:tab/>
      </w:r>
    </w:p>
    <w:p w14:paraId="5B5F65ED" w14:textId="77777777" w:rsidR="006E337B" w:rsidRPr="006E337B" w:rsidRDefault="006E337B" w:rsidP="006E337B">
      <w:pPr>
        <w:spacing w:after="360"/>
        <w:jc w:val="center"/>
        <w:rPr>
          <w:rFonts w:ascii="Garamond" w:hAnsi="Garamond" w:cs="Times New Roman"/>
          <w:sz w:val="32"/>
        </w:rPr>
      </w:pPr>
      <w:r w:rsidRPr="006E337B">
        <w:rPr>
          <w:rFonts w:ascii="Garamond" w:hAnsi="Garamond" w:cs="Times New Roman"/>
          <w:sz w:val="32"/>
        </w:rPr>
        <w:t>Kontrolní list pro vyhodnocení sociálního a environmentálního odpovědného zadávání a inovací ve veřejné zakázce</w:t>
      </w:r>
    </w:p>
    <w:tbl>
      <w:tblPr>
        <w:tblStyle w:val="Mkatabulky"/>
        <w:tblW w:w="0" w:type="auto"/>
        <w:tblLook w:val="04A0" w:firstRow="1" w:lastRow="0" w:firstColumn="1" w:lastColumn="0" w:noHBand="0" w:noVBand="1"/>
      </w:tblPr>
      <w:tblGrid>
        <w:gridCol w:w="3020"/>
        <w:gridCol w:w="3021"/>
        <w:gridCol w:w="3021"/>
      </w:tblGrid>
      <w:tr w:rsidR="006E337B" w:rsidRPr="006E337B" w14:paraId="4C703BC8" w14:textId="77777777" w:rsidTr="00D51CD5">
        <w:tc>
          <w:tcPr>
            <w:tcW w:w="3020" w:type="dxa"/>
          </w:tcPr>
          <w:p w14:paraId="75D616E0" w14:textId="77777777" w:rsidR="006E337B" w:rsidRPr="006E337B" w:rsidRDefault="006E337B" w:rsidP="00D51CD5">
            <w:pPr>
              <w:jc w:val="both"/>
              <w:rPr>
                <w:rFonts w:ascii="Garamond" w:hAnsi="Garamond" w:cs="Times New Roman"/>
                <w:b/>
              </w:rPr>
            </w:pPr>
            <w:r w:rsidRPr="006E337B">
              <w:rPr>
                <w:rFonts w:ascii="Garamond" w:hAnsi="Garamond" w:cs="Times New Roman"/>
                <w:b/>
              </w:rPr>
              <w:t>Aspekty odpovědného veřejného zadávání (OZV) či inovací, které je možné zohlednit ve veřejné zakázce</w:t>
            </w:r>
          </w:p>
        </w:tc>
        <w:tc>
          <w:tcPr>
            <w:tcW w:w="3021" w:type="dxa"/>
          </w:tcPr>
          <w:p w14:paraId="31389127" w14:textId="77777777" w:rsidR="006E337B" w:rsidRPr="006E337B" w:rsidRDefault="006E337B" w:rsidP="00D51CD5">
            <w:pPr>
              <w:jc w:val="both"/>
              <w:rPr>
                <w:rFonts w:ascii="Garamond" w:hAnsi="Garamond" w:cs="Times New Roman"/>
                <w:b/>
              </w:rPr>
            </w:pPr>
            <w:r w:rsidRPr="006E337B">
              <w:rPr>
                <w:rFonts w:ascii="Garamond" w:hAnsi="Garamond" w:cs="Times New Roman"/>
                <w:b/>
              </w:rPr>
              <w:t>Vyhodnocení možnosti zohlednění OZV a inovací</w:t>
            </w:r>
          </w:p>
        </w:tc>
        <w:tc>
          <w:tcPr>
            <w:tcW w:w="3021" w:type="dxa"/>
          </w:tcPr>
          <w:p w14:paraId="62254FB8" w14:textId="77777777" w:rsidR="006E337B" w:rsidRPr="006E337B" w:rsidRDefault="006E337B" w:rsidP="00D51CD5">
            <w:pPr>
              <w:jc w:val="both"/>
              <w:rPr>
                <w:rFonts w:ascii="Garamond" w:hAnsi="Garamond" w:cs="Times New Roman"/>
                <w:b/>
              </w:rPr>
            </w:pPr>
            <w:r w:rsidRPr="006E337B">
              <w:rPr>
                <w:rFonts w:ascii="Garamond" w:hAnsi="Garamond" w:cs="Times New Roman"/>
                <w:b/>
              </w:rPr>
              <w:t>Přijatá opatření, stručný komentář</w:t>
            </w:r>
          </w:p>
        </w:tc>
      </w:tr>
      <w:tr w:rsidR="006E337B" w:rsidRPr="006E337B" w14:paraId="0F9910F2" w14:textId="77777777" w:rsidTr="006E337B">
        <w:tc>
          <w:tcPr>
            <w:tcW w:w="3020" w:type="dxa"/>
            <w:shd w:val="clear" w:color="auto" w:fill="D9E2F3" w:themeFill="accent1" w:themeFillTint="33"/>
          </w:tcPr>
          <w:p w14:paraId="08B23DC1" w14:textId="77777777" w:rsidR="006E337B" w:rsidRPr="006E337B" w:rsidRDefault="006E337B" w:rsidP="00D51CD5">
            <w:pPr>
              <w:jc w:val="both"/>
              <w:rPr>
                <w:rFonts w:ascii="Garamond" w:hAnsi="Garamond" w:cs="Times New Roman"/>
              </w:rPr>
            </w:pPr>
            <w:r w:rsidRPr="006E337B">
              <w:rPr>
                <w:rFonts w:ascii="Garamond" w:hAnsi="Garamond" w:cs="Times New Roman"/>
              </w:rPr>
              <w:t>Mohou při plnění veřejné zakázky získat práci osoby znevýhodněné na trhu práce?</w:t>
            </w:r>
          </w:p>
        </w:tc>
        <w:tc>
          <w:tcPr>
            <w:tcW w:w="3021" w:type="dxa"/>
            <w:shd w:val="clear" w:color="auto" w:fill="D9E2F3" w:themeFill="accent1" w:themeFillTint="33"/>
          </w:tcPr>
          <w:p w14:paraId="38F7BD47" w14:textId="77777777" w:rsidR="006E337B" w:rsidRPr="006E337B" w:rsidRDefault="006E337B" w:rsidP="00D51CD5">
            <w:pPr>
              <w:jc w:val="both"/>
              <w:rPr>
                <w:rFonts w:ascii="Garamond" w:hAnsi="Garamond" w:cs="Times New Roman"/>
              </w:rPr>
            </w:pPr>
            <w:r w:rsidRPr="006E337B">
              <w:rPr>
                <w:rFonts w:ascii="Garamond" w:hAnsi="Garamond" w:cs="Times New Roman"/>
              </w:rPr>
              <w:t>Ne</w:t>
            </w:r>
          </w:p>
        </w:tc>
        <w:tc>
          <w:tcPr>
            <w:tcW w:w="3021" w:type="dxa"/>
            <w:shd w:val="clear" w:color="auto" w:fill="D9E2F3" w:themeFill="accent1" w:themeFillTint="33"/>
          </w:tcPr>
          <w:p w14:paraId="13250E0F" w14:textId="77777777" w:rsidR="006E337B" w:rsidRPr="006E337B" w:rsidRDefault="006E337B" w:rsidP="00D51CD5">
            <w:pPr>
              <w:jc w:val="both"/>
              <w:rPr>
                <w:rFonts w:ascii="Garamond" w:hAnsi="Garamond" w:cs="Times New Roman"/>
              </w:rPr>
            </w:pPr>
            <w:r w:rsidRPr="006E337B">
              <w:rPr>
                <w:rFonts w:ascii="Garamond" w:hAnsi="Garamond" w:cs="Times New Roman"/>
              </w:rPr>
              <w:t>S ohledem na předmět plnění veřejné zakázky Zadavatel nepovažuje za vhodné cílit na tento aspekt OZV.</w:t>
            </w:r>
          </w:p>
        </w:tc>
      </w:tr>
      <w:tr w:rsidR="006E337B" w:rsidRPr="006E337B" w14:paraId="0035F7BF" w14:textId="77777777" w:rsidTr="00D51CD5">
        <w:tc>
          <w:tcPr>
            <w:tcW w:w="3020" w:type="dxa"/>
          </w:tcPr>
          <w:p w14:paraId="7E2BCFEE" w14:textId="77777777" w:rsidR="006E337B" w:rsidRPr="006E337B" w:rsidRDefault="006E337B" w:rsidP="00D51CD5">
            <w:pPr>
              <w:jc w:val="both"/>
              <w:rPr>
                <w:rFonts w:ascii="Garamond" w:hAnsi="Garamond" w:cs="Times New Roman"/>
              </w:rPr>
            </w:pPr>
            <w:r w:rsidRPr="006E337B">
              <w:rPr>
                <w:rFonts w:ascii="Garamond" w:hAnsi="Garamond" w:cs="Times New Roman"/>
              </w:rPr>
              <w:t>Mohou při plnění veřejné zakázky noví zaměstnanci, zejména znevýhodnění na trhu práce, získat nebo si zvýšit kvalifikaci? Je možné v rámci plnění veřejné zakázky uspořádat exkurze pro školy nebo veřejnost?</w:t>
            </w:r>
          </w:p>
        </w:tc>
        <w:tc>
          <w:tcPr>
            <w:tcW w:w="3021" w:type="dxa"/>
          </w:tcPr>
          <w:p w14:paraId="71D4CA41" w14:textId="77777777" w:rsidR="006E337B" w:rsidRPr="006E337B" w:rsidRDefault="006E337B" w:rsidP="00D51CD5">
            <w:pPr>
              <w:jc w:val="both"/>
              <w:rPr>
                <w:rFonts w:ascii="Garamond" w:hAnsi="Garamond" w:cs="Times New Roman"/>
              </w:rPr>
            </w:pPr>
            <w:r w:rsidRPr="006E337B">
              <w:rPr>
                <w:rFonts w:ascii="Garamond" w:hAnsi="Garamond" w:cs="Times New Roman"/>
              </w:rPr>
              <w:t>Ne</w:t>
            </w:r>
          </w:p>
        </w:tc>
        <w:tc>
          <w:tcPr>
            <w:tcW w:w="3021" w:type="dxa"/>
          </w:tcPr>
          <w:p w14:paraId="0B6015EE" w14:textId="77777777" w:rsidR="006E337B" w:rsidRPr="006E337B" w:rsidRDefault="006E337B" w:rsidP="00D51CD5">
            <w:pPr>
              <w:jc w:val="both"/>
              <w:rPr>
                <w:rFonts w:ascii="Garamond" w:hAnsi="Garamond" w:cs="Times New Roman"/>
              </w:rPr>
            </w:pPr>
            <w:r w:rsidRPr="006E337B">
              <w:rPr>
                <w:rFonts w:ascii="Garamond" w:hAnsi="Garamond" w:cs="Times New Roman"/>
              </w:rPr>
              <w:t>S ohledem na předmět plnění Zadavatel nepovažuje za vhodné cílit na tento aspekt OZV.</w:t>
            </w:r>
          </w:p>
        </w:tc>
      </w:tr>
      <w:tr w:rsidR="006E337B" w:rsidRPr="006E337B" w14:paraId="61D32461" w14:textId="77777777" w:rsidTr="006E337B">
        <w:tc>
          <w:tcPr>
            <w:tcW w:w="3020" w:type="dxa"/>
            <w:shd w:val="clear" w:color="auto" w:fill="D9E2F3" w:themeFill="accent1" w:themeFillTint="33"/>
          </w:tcPr>
          <w:p w14:paraId="316E1B47" w14:textId="77777777" w:rsidR="006E337B" w:rsidRPr="006E337B" w:rsidRDefault="006E337B" w:rsidP="00D51CD5">
            <w:pPr>
              <w:jc w:val="both"/>
              <w:rPr>
                <w:rFonts w:ascii="Garamond" w:hAnsi="Garamond" w:cs="Times New Roman"/>
              </w:rPr>
            </w:pPr>
            <w:r w:rsidRPr="006E337B">
              <w:rPr>
                <w:rFonts w:ascii="Garamond" w:hAnsi="Garamond" w:cs="Times New Roman"/>
              </w:rPr>
              <w:t>Existuje zvýšené riziko, že při plnění veřejné zakázky bude docházet k porušování zákonného standardu pracovních podmínek dle zákoníku práce, právních předpisů v oblasti zaměstnanosti a BOZP? Případně je relevantní v rámci veřejné zakázky hodnotit lepší pracovní podmínky osob podílejících se na plnění, nad rámec zákonného standardu pracovních podmínek?</w:t>
            </w:r>
          </w:p>
        </w:tc>
        <w:tc>
          <w:tcPr>
            <w:tcW w:w="3021" w:type="dxa"/>
            <w:shd w:val="clear" w:color="auto" w:fill="D9E2F3" w:themeFill="accent1" w:themeFillTint="33"/>
          </w:tcPr>
          <w:p w14:paraId="681931CF" w14:textId="77777777" w:rsidR="006E337B" w:rsidRPr="006E337B" w:rsidRDefault="006E337B" w:rsidP="00D51CD5">
            <w:pPr>
              <w:jc w:val="both"/>
              <w:rPr>
                <w:rFonts w:ascii="Garamond" w:hAnsi="Garamond" w:cs="Times New Roman"/>
              </w:rPr>
            </w:pPr>
            <w:r w:rsidRPr="006E337B">
              <w:rPr>
                <w:rFonts w:ascii="Garamond" w:hAnsi="Garamond" w:cs="Times New Roman"/>
              </w:rPr>
              <w:t xml:space="preserve">Nelze </w:t>
            </w:r>
            <w:proofErr w:type="gramStart"/>
            <w:r w:rsidRPr="006E337B">
              <w:rPr>
                <w:rFonts w:ascii="Garamond" w:hAnsi="Garamond" w:cs="Times New Roman"/>
              </w:rPr>
              <w:t>s</w:t>
            </w:r>
            <w:proofErr w:type="gramEnd"/>
            <w:r w:rsidRPr="006E337B">
              <w:rPr>
                <w:rFonts w:ascii="Garamond" w:hAnsi="Garamond" w:cs="Times New Roman"/>
              </w:rPr>
              <w:t xml:space="preserve"> určitosti předpokládat, závisí na konkrétním dodavateli, ale zadavatel má zájem o plnění předmětu veřejné zakázky dle zásad odpovědného zadávání</w:t>
            </w:r>
          </w:p>
        </w:tc>
        <w:tc>
          <w:tcPr>
            <w:tcW w:w="3021" w:type="dxa"/>
            <w:shd w:val="clear" w:color="auto" w:fill="D9E2F3" w:themeFill="accent1" w:themeFillTint="33"/>
          </w:tcPr>
          <w:p w14:paraId="2998B136" w14:textId="77777777" w:rsidR="006E337B" w:rsidRPr="006E337B" w:rsidRDefault="006E337B" w:rsidP="00D51CD5">
            <w:pPr>
              <w:jc w:val="both"/>
              <w:rPr>
                <w:rFonts w:ascii="Garamond" w:hAnsi="Garamond" w:cs="Times New Roman"/>
              </w:rPr>
            </w:pPr>
            <w:r w:rsidRPr="006E337B">
              <w:rPr>
                <w:rFonts w:ascii="Garamond" w:hAnsi="Garamond" w:cs="Times New Roman"/>
              </w:rPr>
              <w:t xml:space="preserve">Zapracováno do smlouvy, aby Zadavatel předešel situaci, že při plnění veřejné zakázky bude docházet k porušování zákonného standardu pracovních podmínek dle zákoníku práce, právních předpisů v oblasti zaměstnanosti a BOZP. Dodavatel se výslovně zavazuje při realizaci VZ dodržovat vůči všem osobám, které se na plnění VZ podílejí (a bez ohledu na to, zda budou činnosti prováděny dodavatelem či jeho poddodavateli) veškeré pracovněprávní předpisy, a to zejména, nikoliv však výlučně, předpisy upravující mzdy zaměstnanců, pracovní dobu, dobu odpočinku mezi směnami, placené přesčasy, dále předpisů týkajících se oblasti zaměstnanosti a bezpečnosti a ochrany zdraví při práci, tj. zejména zákona č. 435/2004 Sb., o zaměstnanosti, ve znění pozdějších předpisů, a zákoníku práce. Dodavatel se také zavazuje zajistit, že všechny osoby, které se na plnění VZ podílejí (a bez ohledu na to, zda budou činnosti prováděny dodavatelem či jeho poddodavateli), jsou vedeny v </w:t>
            </w:r>
            <w:r w:rsidRPr="006E337B">
              <w:rPr>
                <w:rFonts w:ascii="Garamond" w:hAnsi="Garamond" w:cs="Times New Roman"/>
              </w:rPr>
              <w:lastRenderedPageBreak/>
              <w:t>příslušných registrech, jako například v registru pojištěnců ČSSZ, a mají příslušná povolení k pobytu v ČR. Dodavatel je dále povinen zajistit, že všechny osoby, které se na plnění díla podílejí (a bez ohledu na to, zda budou činnosti prováděny dodavatelem či jeho poddodavateli) budou proškoleny z problematiky BOZP a že jsou vybaveny osobními ochrannými pracovními prostředky dle účinné legislativy.</w:t>
            </w:r>
          </w:p>
        </w:tc>
      </w:tr>
      <w:tr w:rsidR="006E337B" w:rsidRPr="006E337B" w14:paraId="3B9429C5" w14:textId="77777777" w:rsidTr="00D51CD5">
        <w:tc>
          <w:tcPr>
            <w:tcW w:w="3020" w:type="dxa"/>
          </w:tcPr>
          <w:p w14:paraId="7C278D2E" w14:textId="77777777" w:rsidR="006E337B" w:rsidRPr="006E337B" w:rsidRDefault="006E337B" w:rsidP="00D51CD5">
            <w:pPr>
              <w:jc w:val="both"/>
              <w:rPr>
                <w:rFonts w:ascii="Garamond" w:hAnsi="Garamond" w:cs="Times New Roman"/>
              </w:rPr>
            </w:pPr>
            <w:r w:rsidRPr="006E337B">
              <w:rPr>
                <w:rFonts w:ascii="Garamond" w:hAnsi="Garamond" w:cs="Times New Roman"/>
              </w:rPr>
              <w:lastRenderedPageBreak/>
              <w:t>Existuje zvýšené riziko, že při plnění veřejné zakázky může docházet k porušování mezinárodních úmluv o</w:t>
            </w:r>
          </w:p>
          <w:p w14:paraId="146005CA" w14:textId="77777777" w:rsidR="006E337B" w:rsidRPr="006E337B" w:rsidRDefault="006E337B" w:rsidP="00D51CD5">
            <w:pPr>
              <w:jc w:val="both"/>
              <w:rPr>
                <w:rFonts w:ascii="Garamond" w:hAnsi="Garamond" w:cs="Times New Roman"/>
              </w:rPr>
            </w:pPr>
            <w:r w:rsidRPr="006E337B">
              <w:rPr>
                <w:rFonts w:ascii="Garamond" w:hAnsi="Garamond" w:cs="Times New Roman"/>
              </w:rPr>
              <w:t>lidských právech, sociálních či pracovních právech, zejména úmluv Mezinárodní organizace práce (ILO) uvedených v příloze X směrnice č. 2014/24/EU?</w:t>
            </w:r>
          </w:p>
        </w:tc>
        <w:tc>
          <w:tcPr>
            <w:tcW w:w="3021" w:type="dxa"/>
          </w:tcPr>
          <w:p w14:paraId="42CAD566" w14:textId="77777777" w:rsidR="006E337B" w:rsidRPr="006E337B" w:rsidRDefault="006E337B" w:rsidP="00D51CD5">
            <w:pPr>
              <w:jc w:val="both"/>
              <w:rPr>
                <w:rFonts w:ascii="Garamond" w:hAnsi="Garamond" w:cs="Times New Roman"/>
              </w:rPr>
            </w:pPr>
            <w:r w:rsidRPr="006E337B">
              <w:rPr>
                <w:rFonts w:ascii="Garamond" w:hAnsi="Garamond" w:cs="Times New Roman"/>
              </w:rPr>
              <w:t xml:space="preserve">Nelze </w:t>
            </w:r>
            <w:proofErr w:type="gramStart"/>
            <w:r w:rsidRPr="006E337B">
              <w:rPr>
                <w:rFonts w:ascii="Garamond" w:hAnsi="Garamond" w:cs="Times New Roman"/>
              </w:rPr>
              <w:t>s</w:t>
            </w:r>
            <w:proofErr w:type="gramEnd"/>
            <w:r w:rsidRPr="006E337B">
              <w:rPr>
                <w:rFonts w:ascii="Garamond" w:hAnsi="Garamond" w:cs="Times New Roman"/>
              </w:rPr>
              <w:t xml:space="preserve"> určitosti předpokládat, závisí na konkrétním dodavateli, ale zadavatel má zájem o plnění předmětu veřejné zakázky dle zásad odpovědného zadávání</w:t>
            </w:r>
          </w:p>
        </w:tc>
        <w:tc>
          <w:tcPr>
            <w:tcW w:w="3021" w:type="dxa"/>
          </w:tcPr>
          <w:p w14:paraId="7A697AAD" w14:textId="77777777" w:rsidR="006E337B" w:rsidRPr="006E337B" w:rsidRDefault="006E337B" w:rsidP="00D51CD5">
            <w:pPr>
              <w:jc w:val="both"/>
              <w:rPr>
                <w:rFonts w:ascii="Garamond" w:hAnsi="Garamond" w:cs="Times New Roman"/>
              </w:rPr>
            </w:pPr>
            <w:r w:rsidRPr="006E337B">
              <w:rPr>
                <w:rFonts w:ascii="Garamond" w:hAnsi="Garamond" w:cs="Times New Roman"/>
              </w:rPr>
              <w:t>Zapracováno do smlouvy na plnění veřejné zakázky.</w:t>
            </w:r>
          </w:p>
        </w:tc>
      </w:tr>
      <w:tr w:rsidR="006E337B" w:rsidRPr="006E337B" w14:paraId="32B766B8" w14:textId="77777777" w:rsidTr="006E337B">
        <w:tc>
          <w:tcPr>
            <w:tcW w:w="3020" w:type="dxa"/>
            <w:shd w:val="clear" w:color="auto" w:fill="D9E2F3" w:themeFill="accent1" w:themeFillTint="33"/>
          </w:tcPr>
          <w:p w14:paraId="3E134C33" w14:textId="77777777" w:rsidR="006E337B" w:rsidRPr="006E337B" w:rsidRDefault="006E337B" w:rsidP="00D51CD5">
            <w:pPr>
              <w:jc w:val="both"/>
              <w:rPr>
                <w:rFonts w:ascii="Garamond" w:hAnsi="Garamond" w:cs="Times New Roman"/>
              </w:rPr>
            </w:pPr>
            <w:r w:rsidRPr="006E337B">
              <w:rPr>
                <w:rFonts w:ascii="Garamond" w:hAnsi="Garamond" w:cs="Times New Roman"/>
              </w:rPr>
              <w:t>Mohou plnění veřejné zakázky (nebo její části) poskytnout sociální podniky, případně se na plnění podílet jako poddodavatelé?</w:t>
            </w:r>
          </w:p>
        </w:tc>
        <w:tc>
          <w:tcPr>
            <w:tcW w:w="3021" w:type="dxa"/>
            <w:shd w:val="clear" w:color="auto" w:fill="D9E2F3" w:themeFill="accent1" w:themeFillTint="33"/>
          </w:tcPr>
          <w:p w14:paraId="055F0E02" w14:textId="77777777" w:rsidR="006E337B" w:rsidRPr="006E337B" w:rsidRDefault="006E337B" w:rsidP="00D51CD5">
            <w:pPr>
              <w:jc w:val="both"/>
              <w:rPr>
                <w:rFonts w:ascii="Garamond" w:hAnsi="Garamond" w:cs="Times New Roman"/>
              </w:rPr>
            </w:pPr>
            <w:r w:rsidRPr="006E337B">
              <w:rPr>
                <w:rFonts w:ascii="Garamond" w:hAnsi="Garamond" w:cs="Times New Roman"/>
              </w:rPr>
              <w:t>Ne</w:t>
            </w:r>
          </w:p>
        </w:tc>
        <w:tc>
          <w:tcPr>
            <w:tcW w:w="3021" w:type="dxa"/>
            <w:shd w:val="clear" w:color="auto" w:fill="D9E2F3" w:themeFill="accent1" w:themeFillTint="33"/>
          </w:tcPr>
          <w:p w14:paraId="2AA90F29" w14:textId="77777777" w:rsidR="006E337B" w:rsidRPr="006E337B" w:rsidRDefault="006E337B" w:rsidP="00D51CD5">
            <w:pPr>
              <w:jc w:val="both"/>
              <w:rPr>
                <w:rFonts w:ascii="Garamond" w:hAnsi="Garamond" w:cs="Times New Roman"/>
              </w:rPr>
            </w:pPr>
            <w:r w:rsidRPr="006E337B">
              <w:rPr>
                <w:rFonts w:ascii="Garamond" w:hAnsi="Garamond" w:cs="Times New Roman"/>
              </w:rPr>
              <w:t>S ohledem na předmět plnění veřejné zakázky Zadavatel nepovažuje za vhodné cílit na tento aspekt OZV.</w:t>
            </w:r>
          </w:p>
        </w:tc>
      </w:tr>
      <w:tr w:rsidR="006E337B" w:rsidRPr="006E337B" w14:paraId="3DFF21F1" w14:textId="77777777" w:rsidTr="00D51CD5">
        <w:tc>
          <w:tcPr>
            <w:tcW w:w="3020" w:type="dxa"/>
          </w:tcPr>
          <w:p w14:paraId="40EC7DFB" w14:textId="77777777" w:rsidR="006E337B" w:rsidRPr="006E337B" w:rsidRDefault="006E337B" w:rsidP="00D51CD5">
            <w:pPr>
              <w:jc w:val="both"/>
              <w:rPr>
                <w:rFonts w:ascii="Garamond" w:hAnsi="Garamond" w:cs="Times New Roman"/>
              </w:rPr>
            </w:pPr>
            <w:r w:rsidRPr="006E337B">
              <w:rPr>
                <w:rFonts w:ascii="Garamond" w:hAnsi="Garamond" w:cs="Times New Roman"/>
              </w:rPr>
              <w:t>Mohou veřejnou zakázku nebo její část plnit malé a střední podniky (případně se na plnění podílet jako poddodavatelé)? Je vhodné přijmout taková opatření, aby se zlepšil jejich přístup k účasti ve veřejné zakázce?</w:t>
            </w:r>
          </w:p>
        </w:tc>
        <w:tc>
          <w:tcPr>
            <w:tcW w:w="3021" w:type="dxa"/>
          </w:tcPr>
          <w:p w14:paraId="4BA9D78E" w14:textId="77777777" w:rsidR="006E337B" w:rsidRPr="006E337B" w:rsidRDefault="006E337B" w:rsidP="00D51CD5">
            <w:pPr>
              <w:jc w:val="both"/>
              <w:rPr>
                <w:rFonts w:ascii="Garamond" w:hAnsi="Garamond" w:cs="Times New Roman"/>
              </w:rPr>
            </w:pPr>
            <w:r w:rsidRPr="006E337B">
              <w:rPr>
                <w:rFonts w:ascii="Garamond" w:hAnsi="Garamond" w:cs="Times New Roman"/>
              </w:rPr>
              <w:t>Ano</w:t>
            </w:r>
          </w:p>
        </w:tc>
        <w:tc>
          <w:tcPr>
            <w:tcW w:w="3021" w:type="dxa"/>
          </w:tcPr>
          <w:p w14:paraId="4DBF4677" w14:textId="77777777" w:rsidR="006E337B" w:rsidRPr="006E337B" w:rsidRDefault="006E337B" w:rsidP="00D51CD5">
            <w:pPr>
              <w:jc w:val="both"/>
              <w:rPr>
                <w:rFonts w:ascii="Garamond" w:hAnsi="Garamond" w:cs="Times New Roman"/>
              </w:rPr>
            </w:pPr>
            <w:r w:rsidRPr="006E337B">
              <w:rPr>
                <w:rFonts w:ascii="Garamond" w:hAnsi="Garamond" w:cs="Times New Roman"/>
              </w:rPr>
              <w:t xml:space="preserve">Zadavatel s ohledem na to nevylučuje, aby dodavatel plnil části veřejné zakázky svými poddodavateli. </w:t>
            </w:r>
          </w:p>
        </w:tc>
      </w:tr>
      <w:tr w:rsidR="006E337B" w:rsidRPr="006E337B" w14:paraId="6C69B71E" w14:textId="77777777" w:rsidTr="006E337B">
        <w:tc>
          <w:tcPr>
            <w:tcW w:w="3020" w:type="dxa"/>
            <w:shd w:val="clear" w:color="auto" w:fill="D9E2F3" w:themeFill="accent1" w:themeFillTint="33"/>
          </w:tcPr>
          <w:p w14:paraId="7FC5E4CD" w14:textId="77777777" w:rsidR="006E337B" w:rsidRPr="006E337B" w:rsidRDefault="006E337B" w:rsidP="00D51CD5">
            <w:pPr>
              <w:jc w:val="both"/>
              <w:rPr>
                <w:rFonts w:ascii="Garamond" w:hAnsi="Garamond" w:cs="Times New Roman"/>
              </w:rPr>
            </w:pPr>
            <w:r w:rsidRPr="006E337B">
              <w:rPr>
                <w:rFonts w:ascii="Garamond" w:hAnsi="Garamond" w:cs="Times New Roman"/>
              </w:rPr>
              <w:t>Existuje zvýšené riziko problémových vztahů v dodavatelském řetězci, zejména pro malé a střední podniky, jako např. opožděná splatnost faktur, nelegální zaměstnávání osob, porušování BOZP, nedodržování právních předpisů o ochraně životního prostředí apod.?</w:t>
            </w:r>
          </w:p>
        </w:tc>
        <w:tc>
          <w:tcPr>
            <w:tcW w:w="3021" w:type="dxa"/>
            <w:shd w:val="clear" w:color="auto" w:fill="D9E2F3" w:themeFill="accent1" w:themeFillTint="33"/>
          </w:tcPr>
          <w:p w14:paraId="65E78CE6" w14:textId="77777777" w:rsidR="006E337B" w:rsidRPr="006E337B" w:rsidRDefault="006E337B" w:rsidP="00D51CD5">
            <w:pPr>
              <w:jc w:val="both"/>
              <w:rPr>
                <w:rFonts w:ascii="Garamond" w:hAnsi="Garamond" w:cs="Times New Roman"/>
              </w:rPr>
            </w:pPr>
            <w:r w:rsidRPr="006E337B">
              <w:rPr>
                <w:rFonts w:ascii="Garamond" w:hAnsi="Garamond" w:cs="Times New Roman"/>
              </w:rPr>
              <w:t xml:space="preserve">Nelze </w:t>
            </w:r>
            <w:proofErr w:type="gramStart"/>
            <w:r w:rsidRPr="006E337B">
              <w:rPr>
                <w:rFonts w:ascii="Garamond" w:hAnsi="Garamond" w:cs="Times New Roman"/>
              </w:rPr>
              <w:t>s</w:t>
            </w:r>
            <w:proofErr w:type="gramEnd"/>
            <w:r w:rsidRPr="006E337B">
              <w:rPr>
                <w:rFonts w:ascii="Garamond" w:hAnsi="Garamond" w:cs="Times New Roman"/>
              </w:rPr>
              <w:t xml:space="preserve"> určitosti předpokládat, závisí na konkrétním dodavateli, ale zadavatel má zájem o plnění předmětu veřejné zakázky dle zásad odpovědného zadávání</w:t>
            </w:r>
          </w:p>
        </w:tc>
        <w:tc>
          <w:tcPr>
            <w:tcW w:w="3021" w:type="dxa"/>
            <w:shd w:val="clear" w:color="auto" w:fill="D9E2F3" w:themeFill="accent1" w:themeFillTint="33"/>
          </w:tcPr>
          <w:p w14:paraId="7F153A47" w14:textId="77777777" w:rsidR="006E337B" w:rsidRPr="006E337B" w:rsidRDefault="006E337B" w:rsidP="00D51CD5">
            <w:pPr>
              <w:jc w:val="both"/>
              <w:rPr>
                <w:rFonts w:ascii="Garamond" w:hAnsi="Garamond" w:cs="Times New Roman"/>
              </w:rPr>
            </w:pPr>
            <w:r w:rsidRPr="006E337B">
              <w:rPr>
                <w:rFonts w:ascii="Garamond" w:hAnsi="Garamond" w:cs="Times New Roman"/>
              </w:rPr>
              <w:t>Zadavatel přistoupil ke smluvnímu zakotvení povinnosti dodavatele hradit včas peněžité závazky svým poddodavatelům, zároveň Zadavatel přistoupil ke smluvnímu zakotvení povinnosti přenést povinnosti odpovědného plnění smlouvy i na poddodavatele, které se budou na plnění veřejné zakázky podílet.</w:t>
            </w:r>
          </w:p>
        </w:tc>
      </w:tr>
      <w:tr w:rsidR="006E337B" w:rsidRPr="006E337B" w14:paraId="2A8725B7" w14:textId="77777777" w:rsidTr="006E337B">
        <w:tc>
          <w:tcPr>
            <w:tcW w:w="3020" w:type="dxa"/>
            <w:shd w:val="clear" w:color="auto" w:fill="92D050"/>
          </w:tcPr>
          <w:p w14:paraId="2EA2E785" w14:textId="77777777" w:rsidR="006E337B" w:rsidRPr="006E337B" w:rsidRDefault="006E337B" w:rsidP="00D51CD5">
            <w:pPr>
              <w:jc w:val="both"/>
              <w:rPr>
                <w:rFonts w:ascii="Garamond" w:hAnsi="Garamond" w:cs="Times New Roman"/>
              </w:rPr>
            </w:pPr>
            <w:r w:rsidRPr="006E337B">
              <w:rPr>
                <w:rFonts w:ascii="Garamond" w:hAnsi="Garamond" w:cs="Times New Roman"/>
              </w:rPr>
              <w:t xml:space="preserve">Existuje ekonomicky přijatelné řešení, které umožní získat plnění šetrnější k životnímu prostředí, zejména které povede k omezení spotřeby energií, vody, surovin, produkce znečišťujících látek uvolňovaných do ovzduší, vody, </w:t>
            </w:r>
            <w:r w:rsidRPr="006E337B">
              <w:rPr>
                <w:rFonts w:ascii="Garamond" w:hAnsi="Garamond" w:cs="Times New Roman"/>
              </w:rPr>
              <w:lastRenderedPageBreak/>
              <w:t>půdy, omezení uhlíkové stopy apod.?</w:t>
            </w:r>
          </w:p>
        </w:tc>
        <w:tc>
          <w:tcPr>
            <w:tcW w:w="3021" w:type="dxa"/>
            <w:shd w:val="clear" w:color="auto" w:fill="92D050"/>
          </w:tcPr>
          <w:p w14:paraId="3A98A944" w14:textId="77777777" w:rsidR="006E337B" w:rsidRPr="006E337B" w:rsidRDefault="006E337B" w:rsidP="00D51CD5">
            <w:pPr>
              <w:jc w:val="both"/>
              <w:rPr>
                <w:rFonts w:ascii="Garamond" w:hAnsi="Garamond" w:cs="Times New Roman"/>
              </w:rPr>
            </w:pPr>
            <w:r w:rsidRPr="006E337B">
              <w:rPr>
                <w:rFonts w:ascii="Garamond" w:hAnsi="Garamond" w:cs="Times New Roman"/>
              </w:rPr>
              <w:lastRenderedPageBreak/>
              <w:t>Ne</w:t>
            </w:r>
          </w:p>
        </w:tc>
        <w:tc>
          <w:tcPr>
            <w:tcW w:w="3021" w:type="dxa"/>
            <w:shd w:val="clear" w:color="auto" w:fill="92D050"/>
          </w:tcPr>
          <w:p w14:paraId="0DA26847" w14:textId="77777777" w:rsidR="006E337B" w:rsidRPr="006E337B" w:rsidRDefault="006E337B" w:rsidP="00D51CD5">
            <w:pPr>
              <w:jc w:val="both"/>
              <w:rPr>
                <w:rFonts w:ascii="Garamond" w:hAnsi="Garamond" w:cs="Times New Roman"/>
              </w:rPr>
            </w:pPr>
            <w:r w:rsidRPr="006E337B">
              <w:rPr>
                <w:rFonts w:ascii="Garamond" w:hAnsi="Garamond" w:cs="Times New Roman"/>
              </w:rPr>
              <w:t>Předmět plnění veřejné zakázky je definován potřebou zajistit plnění dle Hlavní smlouvy, nelze tak předpokládat uplatnění tohoto aspektu OZV.</w:t>
            </w:r>
          </w:p>
        </w:tc>
      </w:tr>
      <w:tr w:rsidR="006E337B" w:rsidRPr="006E337B" w14:paraId="7361F2C3" w14:textId="77777777" w:rsidTr="006E337B">
        <w:tc>
          <w:tcPr>
            <w:tcW w:w="3020" w:type="dxa"/>
            <w:shd w:val="clear" w:color="auto" w:fill="92D050"/>
          </w:tcPr>
          <w:p w14:paraId="1DBEA09E" w14:textId="77777777" w:rsidR="006E337B" w:rsidRPr="006E337B" w:rsidRDefault="006E337B" w:rsidP="00D51CD5">
            <w:pPr>
              <w:jc w:val="both"/>
              <w:rPr>
                <w:rFonts w:ascii="Garamond" w:hAnsi="Garamond" w:cs="Times New Roman"/>
              </w:rPr>
            </w:pPr>
            <w:r w:rsidRPr="006E337B">
              <w:rPr>
                <w:rFonts w:ascii="Garamond" w:hAnsi="Garamond" w:cs="Times New Roman"/>
              </w:rPr>
              <w:t>Existuje ekonomicky přijatelné řešení, které umožní využití obnovitelných zdrojů, recyklovaných surovin, snížení množství odpadu, zohlednění nákladů životního cyklu či zapojení jiných aspektů cirkulární ekonomiky?</w:t>
            </w:r>
          </w:p>
        </w:tc>
        <w:tc>
          <w:tcPr>
            <w:tcW w:w="3021" w:type="dxa"/>
            <w:shd w:val="clear" w:color="auto" w:fill="92D050"/>
          </w:tcPr>
          <w:p w14:paraId="35249DA6" w14:textId="77777777" w:rsidR="006E337B" w:rsidRPr="006E337B" w:rsidRDefault="006E337B" w:rsidP="00D51CD5">
            <w:pPr>
              <w:jc w:val="both"/>
              <w:rPr>
                <w:rFonts w:ascii="Garamond" w:hAnsi="Garamond" w:cs="Times New Roman"/>
              </w:rPr>
            </w:pPr>
            <w:r w:rsidRPr="006E337B">
              <w:rPr>
                <w:rFonts w:ascii="Garamond" w:hAnsi="Garamond" w:cs="Times New Roman"/>
              </w:rPr>
              <w:t>Ne</w:t>
            </w:r>
          </w:p>
        </w:tc>
        <w:tc>
          <w:tcPr>
            <w:tcW w:w="3021" w:type="dxa"/>
            <w:shd w:val="clear" w:color="auto" w:fill="92D050"/>
          </w:tcPr>
          <w:p w14:paraId="58C0B162" w14:textId="77777777" w:rsidR="006E337B" w:rsidRPr="006E337B" w:rsidRDefault="006E337B" w:rsidP="00D51CD5">
            <w:pPr>
              <w:jc w:val="both"/>
              <w:rPr>
                <w:rFonts w:ascii="Garamond" w:hAnsi="Garamond" w:cs="Times New Roman"/>
              </w:rPr>
            </w:pPr>
            <w:r w:rsidRPr="006E337B">
              <w:rPr>
                <w:rFonts w:ascii="Garamond" w:hAnsi="Garamond" w:cs="Times New Roman"/>
              </w:rPr>
              <w:t>Předmět plnění veřejné zakázky je definován potřebou zajistit plnění dle Hlavní smlouvy, nelze tak předpokládat uplatnění tohoto aspektu OZV.</w:t>
            </w:r>
          </w:p>
        </w:tc>
      </w:tr>
      <w:tr w:rsidR="006E337B" w:rsidRPr="006E337B" w14:paraId="1899D96F" w14:textId="77777777" w:rsidTr="006E337B">
        <w:tc>
          <w:tcPr>
            <w:tcW w:w="3020" w:type="dxa"/>
            <w:shd w:val="clear" w:color="auto" w:fill="FFF2CC" w:themeFill="accent4" w:themeFillTint="33"/>
          </w:tcPr>
          <w:p w14:paraId="0FAB0DD7" w14:textId="77777777" w:rsidR="006E337B" w:rsidRPr="006E337B" w:rsidRDefault="006E337B" w:rsidP="00D51CD5">
            <w:pPr>
              <w:jc w:val="both"/>
              <w:rPr>
                <w:rFonts w:ascii="Garamond" w:hAnsi="Garamond" w:cs="Times New Roman"/>
              </w:rPr>
            </w:pPr>
            <w:r w:rsidRPr="006E337B">
              <w:rPr>
                <w:rFonts w:ascii="Garamond" w:hAnsi="Garamond" w:cs="Times New Roman"/>
              </w:rPr>
              <w:t>Existuje ekonomicky přijatelné řešení pro inovaci, tedy pro implementaci nového nebo značně zlepšeného produktu, služby nebo postupu souvisejícího s předmětem veřejné zakázky?</w:t>
            </w:r>
          </w:p>
        </w:tc>
        <w:tc>
          <w:tcPr>
            <w:tcW w:w="3021" w:type="dxa"/>
            <w:shd w:val="clear" w:color="auto" w:fill="FFF2CC" w:themeFill="accent4" w:themeFillTint="33"/>
          </w:tcPr>
          <w:p w14:paraId="303EB345" w14:textId="77777777" w:rsidR="006E337B" w:rsidRPr="006E337B" w:rsidRDefault="006E337B" w:rsidP="00D51CD5">
            <w:pPr>
              <w:jc w:val="both"/>
              <w:rPr>
                <w:rFonts w:ascii="Garamond" w:hAnsi="Garamond" w:cs="Times New Roman"/>
              </w:rPr>
            </w:pPr>
            <w:r w:rsidRPr="006E337B">
              <w:rPr>
                <w:rFonts w:ascii="Garamond" w:hAnsi="Garamond" w:cs="Times New Roman"/>
              </w:rPr>
              <w:t>Ne</w:t>
            </w:r>
          </w:p>
        </w:tc>
        <w:tc>
          <w:tcPr>
            <w:tcW w:w="3021" w:type="dxa"/>
            <w:shd w:val="clear" w:color="auto" w:fill="FFF2CC" w:themeFill="accent4" w:themeFillTint="33"/>
          </w:tcPr>
          <w:p w14:paraId="70702073" w14:textId="77777777" w:rsidR="006E337B" w:rsidRPr="006E337B" w:rsidRDefault="006E337B" w:rsidP="00D51CD5">
            <w:pPr>
              <w:jc w:val="both"/>
              <w:rPr>
                <w:rFonts w:ascii="Garamond" w:hAnsi="Garamond" w:cs="Times New Roman"/>
              </w:rPr>
            </w:pPr>
            <w:r w:rsidRPr="006E337B">
              <w:rPr>
                <w:rFonts w:ascii="Garamond" w:hAnsi="Garamond" w:cs="Times New Roman"/>
              </w:rPr>
              <w:t>Předmět plnění veřejné zakázky je definován potřebou zajistit plnění dle Hlavní smlouvy, nelze tak předpokládat uplatnění tohoto aspektu OZV.</w:t>
            </w:r>
          </w:p>
        </w:tc>
      </w:tr>
    </w:tbl>
    <w:p w14:paraId="61374253" w14:textId="77777777" w:rsidR="006E337B" w:rsidRPr="006E337B" w:rsidRDefault="006E337B" w:rsidP="006E337B">
      <w:pPr>
        <w:spacing w:after="0"/>
        <w:jc w:val="both"/>
        <w:rPr>
          <w:rFonts w:ascii="Garamond" w:hAnsi="Garamond" w:cs="Times New Roman"/>
        </w:rPr>
      </w:pPr>
    </w:p>
    <w:p w14:paraId="07CA2EBE" w14:textId="77777777" w:rsidR="0066396D" w:rsidRPr="006E337B" w:rsidRDefault="0066396D" w:rsidP="006E337B">
      <w:pPr>
        <w:jc w:val="both"/>
        <w:rPr>
          <w:rFonts w:ascii="Garamond" w:hAnsi="Garamond"/>
        </w:rPr>
      </w:pPr>
    </w:p>
    <w:sectPr w:rsidR="0066396D" w:rsidRPr="006E337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B0324" w14:textId="77777777" w:rsidR="00AA3ABD" w:rsidRDefault="00AA3ABD" w:rsidP="00DD458E">
      <w:pPr>
        <w:spacing w:after="0" w:line="240" w:lineRule="auto"/>
      </w:pPr>
      <w:r>
        <w:separator/>
      </w:r>
    </w:p>
  </w:endnote>
  <w:endnote w:type="continuationSeparator" w:id="0">
    <w:p w14:paraId="1BEFDABC" w14:textId="77777777" w:rsidR="00AA3ABD" w:rsidRDefault="00AA3ABD" w:rsidP="00DD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AAAB" w14:textId="77777777" w:rsidR="00DD458E" w:rsidRDefault="00DD458E" w:rsidP="00DD458E">
    <w:pPr>
      <w:pStyle w:val="Zpat"/>
      <w:rPr>
        <w:rFonts w:ascii="Garamond" w:hAnsi="Garamond"/>
        <w:sz w:val="20"/>
        <w:szCs w:val="20"/>
      </w:rPr>
    </w:pPr>
    <w:r>
      <w:rPr>
        <w:rFonts w:ascii="Garamond" w:hAnsi="Garamond"/>
        <w:sz w:val="20"/>
        <w:szCs w:val="20"/>
      </w:rPr>
      <w:t>__________________________________________________________________________________________</w:t>
    </w:r>
  </w:p>
  <w:p w14:paraId="77BF56C8" w14:textId="77777777" w:rsidR="00DD458E" w:rsidRDefault="00DD458E" w:rsidP="00DD458E">
    <w:pPr>
      <w:pStyle w:val="Zpat"/>
    </w:pPr>
    <w:r w:rsidRPr="00C9352B">
      <w:rPr>
        <w:rFonts w:ascii="Garamond" w:hAnsi="Garamond"/>
        <w:sz w:val="20"/>
        <w:szCs w:val="20"/>
      </w:rPr>
      <w:t>Zadávací dokumentace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ADE2A" w14:textId="77777777" w:rsidR="00AA3ABD" w:rsidRDefault="00AA3ABD" w:rsidP="00DD458E">
      <w:pPr>
        <w:spacing w:after="0" w:line="240" w:lineRule="auto"/>
      </w:pPr>
      <w:r>
        <w:separator/>
      </w:r>
    </w:p>
  </w:footnote>
  <w:footnote w:type="continuationSeparator" w:id="0">
    <w:p w14:paraId="4A9B093B" w14:textId="77777777" w:rsidR="00AA3ABD" w:rsidRDefault="00AA3ABD" w:rsidP="00DD4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2751" w14:textId="7A85F0A9" w:rsidR="00644CB5" w:rsidRPr="00E75AC3" w:rsidRDefault="00644CB5" w:rsidP="00644CB5">
    <w:pPr>
      <w:pStyle w:val="Zhlav"/>
      <w:rPr>
        <w:rFonts w:ascii="Garamond" w:hAnsi="Garamond"/>
      </w:rPr>
    </w:pPr>
    <w:bookmarkStart w:id="0" w:name="_Hlk89430676"/>
    <w:r w:rsidRPr="00E75AC3">
      <w:rPr>
        <w:rFonts w:ascii="Garamond" w:hAnsi="Garamond" w:cstheme="minorHAnsi"/>
        <w:sz w:val="20"/>
        <w:szCs w:val="16"/>
      </w:rPr>
      <w:t>Výzva k podání nabídky k sektorové veřejné zakázce „</w:t>
    </w:r>
    <w:r w:rsidR="000C5F16">
      <w:rPr>
        <w:rFonts w:ascii="Garamond" w:hAnsi="Garamond" w:cstheme="minorHAnsi"/>
        <w:sz w:val="20"/>
        <w:szCs w:val="16"/>
      </w:rPr>
      <w:t>Konstrukční práce mechanika</w:t>
    </w:r>
    <w:r w:rsidRPr="00E75AC3">
      <w:rPr>
        <w:rFonts w:ascii="Garamond" w:hAnsi="Garamond" w:cstheme="minorHAnsi"/>
        <w:sz w:val="20"/>
        <w:szCs w:val="16"/>
      </w:rPr>
      <w:t>“</w:t>
    </w:r>
  </w:p>
  <w:bookmarkEnd w:id="0"/>
  <w:p w14:paraId="016654D7" w14:textId="77777777" w:rsidR="00644CB5" w:rsidRDefault="00644C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30C6E"/>
    <w:multiLevelType w:val="multilevel"/>
    <w:tmpl w:val="D4E4EE4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3A2717B9"/>
    <w:multiLevelType w:val="hybridMultilevel"/>
    <w:tmpl w:val="643E31AC"/>
    <w:lvl w:ilvl="0" w:tplc="D7265AA2">
      <w:numFmt w:val="bullet"/>
      <w:lvlText w:val="-"/>
      <w:lvlJc w:val="left"/>
      <w:pPr>
        <w:ind w:left="720" w:hanging="360"/>
      </w:pPr>
      <w:rPr>
        <w:rFonts w:ascii="Garamond" w:eastAsiaTheme="minorHAnsi" w:hAnsi="Garamond" w:cstheme="minorBidi" w:hint="default"/>
        <w:b w:val="0"/>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6514B12"/>
    <w:multiLevelType w:val="hybridMultilevel"/>
    <w:tmpl w:val="9D2E8DFA"/>
    <w:lvl w:ilvl="0" w:tplc="5B00A7A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BE9654F"/>
    <w:multiLevelType w:val="hybridMultilevel"/>
    <w:tmpl w:val="A10E333E"/>
    <w:lvl w:ilvl="0" w:tplc="F768F3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E896C7A"/>
    <w:multiLevelType w:val="hybridMultilevel"/>
    <w:tmpl w:val="9C20042C"/>
    <w:lvl w:ilvl="0" w:tplc="F768F3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DD648D3"/>
    <w:multiLevelType w:val="hybridMultilevel"/>
    <w:tmpl w:val="1084DF5E"/>
    <w:lvl w:ilvl="0" w:tplc="F768F3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96D"/>
    <w:rsid w:val="000227AC"/>
    <w:rsid w:val="00030C45"/>
    <w:rsid w:val="000A7411"/>
    <w:rsid w:val="000B70C8"/>
    <w:rsid w:val="000C5F16"/>
    <w:rsid w:val="000E3C70"/>
    <w:rsid w:val="00103844"/>
    <w:rsid w:val="00121671"/>
    <w:rsid w:val="001D3835"/>
    <w:rsid w:val="002C5B92"/>
    <w:rsid w:val="002E634A"/>
    <w:rsid w:val="002F5032"/>
    <w:rsid w:val="004013C3"/>
    <w:rsid w:val="00427BC5"/>
    <w:rsid w:val="005636D3"/>
    <w:rsid w:val="00594234"/>
    <w:rsid w:val="005A2101"/>
    <w:rsid w:val="005E4BCD"/>
    <w:rsid w:val="005E4C30"/>
    <w:rsid w:val="006210B9"/>
    <w:rsid w:val="00644CB5"/>
    <w:rsid w:val="0066396D"/>
    <w:rsid w:val="006E337B"/>
    <w:rsid w:val="00826A8A"/>
    <w:rsid w:val="008657A0"/>
    <w:rsid w:val="008E100D"/>
    <w:rsid w:val="009F0634"/>
    <w:rsid w:val="00A30532"/>
    <w:rsid w:val="00A6580B"/>
    <w:rsid w:val="00A7681F"/>
    <w:rsid w:val="00AA3ABD"/>
    <w:rsid w:val="00B02796"/>
    <w:rsid w:val="00B1695B"/>
    <w:rsid w:val="00B71AD4"/>
    <w:rsid w:val="00BD58D4"/>
    <w:rsid w:val="00D83D89"/>
    <w:rsid w:val="00DD458E"/>
    <w:rsid w:val="00E60A6A"/>
    <w:rsid w:val="00EA51E6"/>
    <w:rsid w:val="00EF7110"/>
    <w:rsid w:val="00FB4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3BBC"/>
  <w15:chartTrackingRefBased/>
  <w15:docId w15:val="{ABE24794-6165-44D6-9A2E-FC01A5B1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D458E"/>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DD458E"/>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DD458E"/>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DD458E"/>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DD458E"/>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DD458E"/>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DD458E"/>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DD458E"/>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D458E"/>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6396D"/>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6639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396D"/>
    <w:rPr>
      <w:rFonts w:ascii="Segoe UI" w:hAnsi="Segoe UI" w:cs="Segoe UI"/>
      <w:sz w:val="18"/>
      <w:szCs w:val="18"/>
    </w:rPr>
  </w:style>
  <w:style w:type="paragraph" w:styleId="Zhlav">
    <w:name w:val="header"/>
    <w:basedOn w:val="Normln"/>
    <w:link w:val="ZhlavChar"/>
    <w:uiPriority w:val="99"/>
    <w:unhideWhenUsed/>
    <w:rsid w:val="005E4C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E4C30"/>
  </w:style>
  <w:style w:type="paragraph" w:styleId="Zpat">
    <w:name w:val="footer"/>
    <w:basedOn w:val="Normln"/>
    <w:link w:val="ZpatChar"/>
    <w:uiPriority w:val="99"/>
    <w:unhideWhenUsed/>
    <w:rsid w:val="00DD458E"/>
    <w:pPr>
      <w:tabs>
        <w:tab w:val="center" w:pos="4536"/>
        <w:tab w:val="right" w:pos="9072"/>
      </w:tabs>
      <w:spacing w:after="0" w:line="240" w:lineRule="auto"/>
    </w:pPr>
  </w:style>
  <w:style w:type="character" w:customStyle="1" w:styleId="ZpatChar">
    <w:name w:val="Zápatí Char"/>
    <w:basedOn w:val="Standardnpsmoodstavce"/>
    <w:link w:val="Zpat"/>
    <w:uiPriority w:val="99"/>
    <w:rsid w:val="00DD458E"/>
  </w:style>
  <w:style w:type="character" w:customStyle="1" w:styleId="Nadpis1Char">
    <w:name w:val="Nadpis 1 Char"/>
    <w:basedOn w:val="Standardnpsmoodstavce"/>
    <w:link w:val="Nadpis1"/>
    <w:uiPriority w:val="9"/>
    <w:rsid w:val="00DD458E"/>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DD458E"/>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DD458E"/>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DD458E"/>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DD458E"/>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DD458E"/>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DD458E"/>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D458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D458E"/>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DD458E"/>
    <w:pPr>
      <w:outlineLvl w:val="9"/>
    </w:pPr>
    <w:rPr>
      <w:lang w:eastAsia="cs-CZ"/>
    </w:rPr>
  </w:style>
  <w:style w:type="table" w:styleId="Mkatabulky">
    <w:name w:val="Table Grid"/>
    <w:basedOn w:val="Normlntabulka"/>
    <w:uiPriority w:val="39"/>
    <w:rsid w:val="006E3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F7110"/>
    <w:rPr>
      <w:sz w:val="16"/>
      <w:szCs w:val="16"/>
    </w:rPr>
  </w:style>
  <w:style w:type="paragraph" w:styleId="Textkomente">
    <w:name w:val="annotation text"/>
    <w:basedOn w:val="Normln"/>
    <w:link w:val="TextkomenteChar"/>
    <w:uiPriority w:val="99"/>
    <w:semiHidden/>
    <w:unhideWhenUsed/>
    <w:rsid w:val="00EF7110"/>
    <w:pPr>
      <w:spacing w:line="240" w:lineRule="auto"/>
    </w:pPr>
    <w:rPr>
      <w:sz w:val="20"/>
      <w:szCs w:val="20"/>
    </w:rPr>
  </w:style>
  <w:style w:type="character" w:customStyle="1" w:styleId="TextkomenteChar">
    <w:name w:val="Text komentáře Char"/>
    <w:basedOn w:val="Standardnpsmoodstavce"/>
    <w:link w:val="Textkomente"/>
    <w:uiPriority w:val="99"/>
    <w:semiHidden/>
    <w:rsid w:val="00EF7110"/>
    <w:rPr>
      <w:sz w:val="20"/>
      <w:szCs w:val="20"/>
    </w:rPr>
  </w:style>
  <w:style w:type="paragraph" w:styleId="Pedmtkomente">
    <w:name w:val="annotation subject"/>
    <w:basedOn w:val="Textkomente"/>
    <w:next w:val="Textkomente"/>
    <w:link w:val="PedmtkomenteChar"/>
    <w:uiPriority w:val="99"/>
    <w:semiHidden/>
    <w:unhideWhenUsed/>
    <w:rsid w:val="00EF7110"/>
    <w:rPr>
      <w:b/>
      <w:bCs/>
    </w:rPr>
  </w:style>
  <w:style w:type="character" w:customStyle="1" w:styleId="PedmtkomenteChar">
    <w:name w:val="Předmět komentáře Char"/>
    <w:basedOn w:val="TextkomenteChar"/>
    <w:link w:val="Pedmtkomente"/>
    <w:uiPriority w:val="99"/>
    <w:semiHidden/>
    <w:rsid w:val="00EF71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822</Words>
  <Characters>4853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Kiesewetterová Lucie, Ing.</cp:lastModifiedBy>
  <cp:revision>3</cp:revision>
  <dcterms:created xsi:type="dcterms:W3CDTF">2021-12-13T11:03:00Z</dcterms:created>
  <dcterms:modified xsi:type="dcterms:W3CDTF">2021-12-14T06:56:00Z</dcterms:modified>
</cp:coreProperties>
</file>