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C0ECE" w14:textId="4ADAA1A4" w:rsidR="002D3AA8" w:rsidRDefault="002D3AA8" w:rsidP="002D3AA8">
      <w:pPr>
        <w:pStyle w:val="Nadpis1"/>
        <w:contextualSpacing w:val="0"/>
      </w:pPr>
      <w:bookmarkStart w:id="0" w:name="_s0tyulx0gl9w" w:colFirst="0" w:colLast="0"/>
      <w:bookmarkEnd w:id="0"/>
      <w:r>
        <w:t>Požadavky na předvedení vzorku</w:t>
      </w:r>
      <w:r w:rsidR="00291732">
        <w:t xml:space="preserve"> – Příloha č</w:t>
      </w:r>
      <w:r w:rsidR="00291732" w:rsidRPr="007752B8">
        <w:rPr>
          <w:shd w:val="clear" w:color="auto" w:fill="FFFFFF" w:themeFill="background1"/>
        </w:rPr>
        <w:t>.</w:t>
      </w:r>
      <w:r w:rsidR="00EF0401" w:rsidRPr="007752B8">
        <w:rPr>
          <w:shd w:val="clear" w:color="auto" w:fill="FFFFFF" w:themeFill="background1"/>
        </w:rPr>
        <w:t xml:space="preserve"> </w:t>
      </w:r>
      <w:r w:rsidR="00C22B9D" w:rsidRPr="007752B8">
        <w:rPr>
          <w:shd w:val="clear" w:color="auto" w:fill="FFFFFF" w:themeFill="background1"/>
        </w:rPr>
        <w:t>8</w:t>
      </w:r>
      <w:r w:rsidR="00291732" w:rsidRPr="007752B8">
        <w:rPr>
          <w:shd w:val="clear" w:color="auto" w:fill="FFFFFF" w:themeFill="background1"/>
        </w:rPr>
        <w:t xml:space="preserve"> </w:t>
      </w:r>
      <w:r w:rsidR="00291732">
        <w:t>ZD</w:t>
      </w:r>
    </w:p>
    <w:p w14:paraId="4D1C0ECF" w14:textId="77777777" w:rsidR="002D3AA8" w:rsidRDefault="007752B8" w:rsidP="002D3AA8">
      <w:pPr>
        <w:pStyle w:val="Normln1"/>
      </w:pPr>
      <w:r>
        <w:pict w14:anchorId="4D1C0EEE">
          <v:rect id="_x0000_i1025" style="width:0;height:1.5pt" o:hralign="center" o:hrstd="t" o:hr="t" fillcolor="#a0a0a0" stroked="f"/>
        </w:pict>
      </w:r>
    </w:p>
    <w:p w14:paraId="4D1C0ED0" w14:textId="77777777" w:rsidR="00EF0401" w:rsidRDefault="002D3AA8" w:rsidP="002D3AA8">
      <w:pPr>
        <w:pStyle w:val="Normln1"/>
        <w:jc w:val="both"/>
      </w:pPr>
      <w:r>
        <w:t>Cílem předvedení funkčního vzorku je snaha prokázat, že účastník zadávacího řízení ovládá technologie, které mají být součástí dodávky veřejné zakázky</w:t>
      </w:r>
      <w:r w:rsidR="00EF0401">
        <w:t xml:space="preserve"> „Dodávka informačních kiosků“. </w:t>
      </w:r>
    </w:p>
    <w:p w14:paraId="4D1C0ED1" w14:textId="77777777" w:rsidR="00240893" w:rsidRDefault="00240893" w:rsidP="002D3AA8">
      <w:pPr>
        <w:pStyle w:val="Normln1"/>
        <w:jc w:val="both"/>
      </w:pPr>
      <w:r>
        <w:t>Za úspěšné prokázání funkčnosti vzorku se považ</w:t>
      </w:r>
      <w:bookmarkStart w:id="1" w:name="_GoBack"/>
      <w:bookmarkEnd w:id="1"/>
      <w:r>
        <w:t>uje splnění požadavků dle Technické specifikace a prokázání všech funkcionalit dle bodů uvedených v částech „ Průběh testu HW“ a „Průběh testu SW“.</w:t>
      </w:r>
    </w:p>
    <w:p w14:paraId="4D1C0ED2" w14:textId="77777777" w:rsidR="00240893" w:rsidRDefault="00240893" w:rsidP="00240893">
      <w:pPr>
        <w:pStyle w:val="Normln1"/>
        <w:jc w:val="both"/>
      </w:pPr>
      <w:r>
        <w:t>Dodavatel musí jejich splnění prezentovat jednoznačným a srozumitelným předvedením.</w:t>
      </w:r>
    </w:p>
    <w:p w14:paraId="4D1C0ED3" w14:textId="77777777" w:rsidR="00240893" w:rsidRDefault="00240893" w:rsidP="002D3AA8">
      <w:pPr>
        <w:pStyle w:val="Normln1"/>
        <w:jc w:val="both"/>
      </w:pPr>
    </w:p>
    <w:p w14:paraId="4D1C0ED4" w14:textId="77777777" w:rsidR="002D3AA8" w:rsidRPr="007C53F4" w:rsidRDefault="002D3AA8" w:rsidP="002D3AA8">
      <w:pPr>
        <w:pStyle w:val="Normln1"/>
        <w:jc w:val="both"/>
        <w:rPr>
          <w:b/>
        </w:rPr>
      </w:pPr>
      <w:r w:rsidRPr="007C53F4">
        <w:rPr>
          <w:b/>
        </w:rPr>
        <w:t>Funkční vzorek musí mít následující parametry a vlastnosti:</w:t>
      </w:r>
    </w:p>
    <w:p w14:paraId="4D1C0ED5" w14:textId="77777777" w:rsidR="007C53F4" w:rsidRPr="00B71E70" w:rsidRDefault="007C53F4" w:rsidP="00794878">
      <w:pPr>
        <w:pStyle w:val="Normln1"/>
        <w:numPr>
          <w:ilvl w:val="0"/>
          <w:numId w:val="8"/>
        </w:numPr>
        <w:ind w:left="426"/>
        <w:jc w:val="both"/>
      </w:pPr>
      <w:r w:rsidRPr="00B71E70">
        <w:t>Technické parametry dle Technické specifikace</w:t>
      </w:r>
      <w:r w:rsidR="00685DC3">
        <w:t>,</w:t>
      </w:r>
      <w:r w:rsidR="00A67A76">
        <w:t xml:space="preserve"> mimo </w:t>
      </w:r>
      <w:r w:rsidR="009F41D3">
        <w:t xml:space="preserve">požadavku na </w:t>
      </w:r>
      <w:proofErr w:type="spellStart"/>
      <w:r w:rsidR="00A67A76" w:rsidRPr="009F41D3">
        <w:t>Branding</w:t>
      </w:r>
      <w:proofErr w:type="spellEnd"/>
      <w:r w:rsidR="00A67A76" w:rsidRPr="009F41D3">
        <w:t xml:space="preserve"> kiosku</w:t>
      </w:r>
      <w:r w:rsidR="00794878">
        <w:t>.</w:t>
      </w:r>
    </w:p>
    <w:p w14:paraId="4D1C0ED6" w14:textId="77777777" w:rsidR="007C53F4" w:rsidRPr="00B71E70" w:rsidRDefault="007C53F4" w:rsidP="00EF0401">
      <w:pPr>
        <w:pStyle w:val="Standarduser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4D1C0ED7" w14:textId="77777777" w:rsidR="00B44576" w:rsidRDefault="00B44576" w:rsidP="00B44576">
      <w:pPr>
        <w:pStyle w:val="Nadpis3"/>
        <w:contextualSpacing w:val="0"/>
      </w:pPr>
      <w:r>
        <w:t>P</w:t>
      </w:r>
      <w:r w:rsidR="00DC5EA8">
        <w:t xml:space="preserve">říprava </w:t>
      </w:r>
      <w:r>
        <w:t>testu:</w:t>
      </w:r>
    </w:p>
    <w:p w14:paraId="4D1C0ED8" w14:textId="77777777" w:rsidR="002D3AA8" w:rsidRDefault="002D3AA8" w:rsidP="002D3AA8">
      <w:pPr>
        <w:pStyle w:val="Normln1"/>
        <w:jc w:val="both"/>
      </w:pPr>
      <w:r>
        <w:t>Časový limit pro předvádění vzorku je následující: čas na přípravu max</w:t>
      </w:r>
      <w:r w:rsidRPr="00F84060">
        <w:t xml:space="preserve">. </w:t>
      </w:r>
      <w:r w:rsidR="00D60949" w:rsidRPr="00F84060">
        <w:t>3</w:t>
      </w:r>
      <w:r w:rsidR="00F529D3" w:rsidRPr="00F84060">
        <w:t>0</w:t>
      </w:r>
      <w:r w:rsidRPr="00F84060">
        <w:t xml:space="preserve"> minut</w:t>
      </w:r>
      <w:r>
        <w:t>, čas předv</w:t>
      </w:r>
      <w:r w:rsidR="002C7C71">
        <w:t>eden</w:t>
      </w:r>
      <w:r>
        <w:t>í max.</w:t>
      </w:r>
      <w:r w:rsidR="00360186">
        <w:t xml:space="preserve"> </w:t>
      </w:r>
      <w:r w:rsidR="00D60949" w:rsidRPr="00F84060">
        <w:t>2</w:t>
      </w:r>
      <w:r w:rsidR="00EF0401" w:rsidRPr="00F84060">
        <w:t>0</w:t>
      </w:r>
      <w:r w:rsidR="006B7DDB" w:rsidRPr="00F84060">
        <w:t xml:space="preserve"> minut</w:t>
      </w:r>
      <w:r>
        <w:t>.</w:t>
      </w:r>
    </w:p>
    <w:p w14:paraId="4D1C0ED9" w14:textId="77777777" w:rsidR="002D3AA8" w:rsidRDefault="00B44576" w:rsidP="009F41D3">
      <w:pPr>
        <w:pStyle w:val="Normln1"/>
        <w:spacing w:before="0" w:after="0"/>
        <w:contextualSpacing/>
        <w:jc w:val="both"/>
      </w:pPr>
      <w:bookmarkStart w:id="2" w:name="_lkruo0plfu4e" w:colFirst="0" w:colLast="0"/>
      <w:bookmarkStart w:id="3" w:name="_ku0hm599y89d" w:colFirst="0" w:colLast="0"/>
      <w:bookmarkEnd w:id="2"/>
      <w:bookmarkEnd w:id="3"/>
      <w:r>
        <w:t xml:space="preserve">HW dodaný </w:t>
      </w:r>
      <w:r w:rsidR="00EF0401">
        <w:t>dodavatelem</w:t>
      </w:r>
      <w:r>
        <w:t xml:space="preserve">: </w:t>
      </w:r>
      <w:r w:rsidR="00382FE1">
        <w:t>Informační kiosek</w:t>
      </w:r>
      <w:r>
        <w:t>, napájecí a datová kabeláž</w:t>
      </w:r>
      <w:r w:rsidR="00972468">
        <w:t>.</w:t>
      </w:r>
    </w:p>
    <w:p w14:paraId="4D1C0EDA" w14:textId="77777777" w:rsidR="00583A81" w:rsidRPr="00F84060" w:rsidRDefault="00B44576" w:rsidP="009F41D3">
      <w:pPr>
        <w:spacing w:before="0" w:after="0"/>
        <w:jc w:val="both"/>
      </w:pPr>
      <w:r>
        <w:t>HW dodaný zadavatelem:</w:t>
      </w:r>
      <w:r w:rsidR="00D60949">
        <w:t xml:space="preserve"> Identifikační karta zaměstnance </w:t>
      </w:r>
      <w:proofErr w:type="spellStart"/>
      <w:r w:rsidR="00F84060" w:rsidRPr="009F41D3">
        <w:t>Mifare-Desfire</w:t>
      </w:r>
      <w:proofErr w:type="spellEnd"/>
      <w:r w:rsidR="00972468" w:rsidRPr="00F84060">
        <w:t>.</w:t>
      </w:r>
    </w:p>
    <w:p w14:paraId="4D1C0EDB" w14:textId="77777777" w:rsidR="00382FE1" w:rsidRDefault="00382FE1" w:rsidP="009F41D3">
      <w:pPr>
        <w:spacing w:before="0" w:after="0"/>
        <w:jc w:val="both"/>
      </w:pPr>
      <w:r>
        <w:t xml:space="preserve">Informační kiosek </w:t>
      </w:r>
      <w:r w:rsidR="0072105B">
        <w:t>bude p</w:t>
      </w:r>
      <w:r>
        <w:t xml:space="preserve">řipojen pomocí datové kabeláže do </w:t>
      </w:r>
      <w:r w:rsidR="00A67A76">
        <w:t xml:space="preserve">LAN nebo </w:t>
      </w:r>
      <w:r>
        <w:t>WLAN</w:t>
      </w:r>
      <w:r w:rsidR="00240893">
        <w:t xml:space="preserve"> </w:t>
      </w:r>
      <w:r>
        <w:t>sítě</w:t>
      </w:r>
      <w:r w:rsidR="00240893">
        <w:t xml:space="preserve"> DPO</w:t>
      </w:r>
      <w:r w:rsidR="0072105B">
        <w:t xml:space="preserve">. </w:t>
      </w:r>
    </w:p>
    <w:p w14:paraId="4D1C0EDC" w14:textId="77777777" w:rsidR="00DC5EA8" w:rsidRDefault="00DC5EA8" w:rsidP="00240893">
      <w:pPr>
        <w:pStyle w:val="Nadpis3"/>
        <w:spacing w:after="0"/>
        <w:contextualSpacing w:val="0"/>
      </w:pPr>
      <w:r>
        <w:t>Průběh testu</w:t>
      </w:r>
      <w:r w:rsidR="000B56B2">
        <w:t xml:space="preserve"> HW</w:t>
      </w:r>
      <w:r>
        <w:t>:</w:t>
      </w:r>
    </w:p>
    <w:p w14:paraId="4D1C0EDD" w14:textId="77777777" w:rsidR="00AB1A75" w:rsidRDefault="00AB1A75" w:rsidP="00240893">
      <w:pPr>
        <w:pStyle w:val="Standard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Předvedení tisku na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máloformátové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tiskárně s automatickým střihem </w:t>
      </w:r>
    </w:p>
    <w:p w14:paraId="4D1C0EDE" w14:textId="77777777" w:rsidR="007C53F4" w:rsidRPr="009F41D3" w:rsidRDefault="00AB1A75" w:rsidP="009C5A54">
      <w:pPr>
        <w:pStyle w:val="Standard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cs-CZ" w:bidi="ar-SA"/>
        </w:rPr>
      </w:pPr>
      <w:r w:rsidRPr="009F41D3">
        <w:rPr>
          <w:rFonts w:ascii="Arial" w:eastAsia="Arial" w:hAnsi="Arial" w:cs="Arial"/>
          <w:color w:val="000000"/>
          <w:kern w:val="0"/>
          <w:sz w:val="22"/>
          <w:szCs w:val="22"/>
          <w:lang w:eastAsia="cs-CZ" w:bidi="ar-SA"/>
        </w:rPr>
        <w:t xml:space="preserve">Dodavatel </w:t>
      </w:r>
      <w:r w:rsidR="007C53F4" w:rsidRPr="009F41D3">
        <w:rPr>
          <w:rFonts w:ascii="Arial" w:eastAsia="Arial" w:hAnsi="Arial" w:cs="Arial"/>
          <w:color w:val="000000"/>
          <w:kern w:val="0"/>
          <w:sz w:val="22"/>
          <w:szCs w:val="22"/>
          <w:lang w:eastAsia="cs-CZ" w:bidi="ar-SA"/>
        </w:rPr>
        <w:t>předvede</w:t>
      </w:r>
      <w:r w:rsidR="00F529D3" w:rsidRPr="009F41D3">
        <w:rPr>
          <w:rFonts w:ascii="Arial" w:eastAsia="Arial" w:hAnsi="Arial" w:cs="Arial"/>
          <w:color w:val="000000"/>
          <w:kern w:val="0"/>
          <w:sz w:val="22"/>
          <w:szCs w:val="22"/>
          <w:lang w:eastAsia="cs-CZ" w:bidi="ar-SA"/>
        </w:rPr>
        <w:t xml:space="preserve"> funkčnost tisku</w:t>
      </w:r>
      <w:r w:rsidR="00A67A76" w:rsidRPr="009F41D3">
        <w:rPr>
          <w:rFonts w:ascii="Arial" w:eastAsia="Arial" w:hAnsi="Arial" w:cs="Arial"/>
          <w:color w:val="000000"/>
          <w:kern w:val="0"/>
          <w:sz w:val="22"/>
          <w:szCs w:val="22"/>
          <w:lang w:eastAsia="cs-CZ" w:bidi="ar-SA"/>
        </w:rPr>
        <w:t xml:space="preserve"> se střihem</w:t>
      </w:r>
      <w:r w:rsidR="00F529D3" w:rsidRPr="009F41D3">
        <w:rPr>
          <w:rFonts w:ascii="Arial" w:eastAsia="Arial" w:hAnsi="Arial" w:cs="Arial"/>
          <w:color w:val="000000"/>
          <w:kern w:val="0"/>
          <w:sz w:val="22"/>
          <w:szCs w:val="22"/>
          <w:lang w:eastAsia="cs-CZ" w:bidi="ar-SA"/>
        </w:rPr>
        <w:t xml:space="preserve">. </w:t>
      </w:r>
    </w:p>
    <w:p w14:paraId="4D1C0EDF" w14:textId="77777777" w:rsidR="00F529D3" w:rsidRPr="009F41D3" w:rsidRDefault="00F529D3" w:rsidP="009C5A54">
      <w:pPr>
        <w:pStyle w:val="Standard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cs-CZ" w:bidi="ar-SA"/>
        </w:rPr>
      </w:pPr>
      <w:r w:rsidRPr="009F41D3">
        <w:rPr>
          <w:rFonts w:ascii="Arial" w:eastAsia="Arial" w:hAnsi="Arial" w:cs="Arial"/>
          <w:color w:val="000000"/>
          <w:kern w:val="0"/>
          <w:sz w:val="22"/>
          <w:szCs w:val="22"/>
          <w:lang w:eastAsia="cs-CZ" w:bidi="ar-SA"/>
        </w:rPr>
        <w:t>Doba předvedení: maximálně 5 minut.</w:t>
      </w:r>
    </w:p>
    <w:p w14:paraId="4D1C0EE0" w14:textId="77777777" w:rsidR="007C53F4" w:rsidRPr="001B4281" w:rsidRDefault="007C53F4" w:rsidP="009C5A5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D1C0EE1" w14:textId="77777777" w:rsidR="009F75D5" w:rsidRPr="00216AB6" w:rsidRDefault="009F75D5" w:rsidP="009C5A54">
      <w:pPr>
        <w:pStyle w:val="Nadpis3"/>
        <w:contextualSpacing w:val="0"/>
        <w:jc w:val="both"/>
      </w:pPr>
      <w:r w:rsidRPr="00216AB6">
        <w:t>Průběh testu SW:</w:t>
      </w:r>
    </w:p>
    <w:p w14:paraId="4D1C0EE2" w14:textId="77777777" w:rsidR="007C53F4" w:rsidRPr="00101784" w:rsidRDefault="009F41D3" w:rsidP="00240893">
      <w:pPr>
        <w:pStyle w:val="Standard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7C53F4" w:rsidRPr="00101784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B1A75" w:rsidRPr="00AB1A75">
        <w:rPr>
          <w:rFonts w:ascii="Arial" w:hAnsi="Arial" w:cs="Arial"/>
          <w:b/>
          <w:bCs/>
          <w:sz w:val="22"/>
          <w:szCs w:val="22"/>
        </w:rPr>
        <w:t xml:space="preserve">Přihlášení uživatele pomocí </w:t>
      </w:r>
      <w:r w:rsidR="00F84060">
        <w:rPr>
          <w:rFonts w:ascii="Arial" w:hAnsi="Arial" w:cs="Arial"/>
          <w:b/>
          <w:bCs/>
          <w:sz w:val="22"/>
          <w:szCs w:val="22"/>
        </w:rPr>
        <w:t>identifikační k</w:t>
      </w:r>
      <w:r w:rsidR="00AB1A75" w:rsidRPr="00AB1A75">
        <w:rPr>
          <w:rFonts w:ascii="Arial" w:hAnsi="Arial" w:cs="Arial"/>
          <w:b/>
          <w:bCs/>
          <w:sz w:val="22"/>
          <w:szCs w:val="22"/>
        </w:rPr>
        <w:t xml:space="preserve">arty </w:t>
      </w:r>
      <w:r>
        <w:rPr>
          <w:rFonts w:ascii="Arial" w:hAnsi="Arial" w:cs="Arial"/>
          <w:b/>
          <w:bCs/>
          <w:sz w:val="22"/>
          <w:szCs w:val="22"/>
        </w:rPr>
        <w:t xml:space="preserve">zaměstnance </w:t>
      </w:r>
      <w:proofErr w:type="spellStart"/>
      <w:r w:rsidR="00AB1A75" w:rsidRPr="00AB1A75">
        <w:rPr>
          <w:rFonts w:ascii="Arial" w:hAnsi="Arial" w:cs="Arial"/>
          <w:b/>
          <w:bCs/>
          <w:sz w:val="22"/>
          <w:szCs w:val="22"/>
        </w:rPr>
        <w:t>Mifare-Desfire</w:t>
      </w:r>
      <w:proofErr w:type="spellEnd"/>
      <w:r w:rsidR="00AB1A75" w:rsidRPr="00AB1A75">
        <w:rPr>
          <w:rFonts w:ascii="Arial" w:hAnsi="Arial" w:cs="Arial"/>
          <w:b/>
          <w:bCs/>
          <w:sz w:val="22"/>
          <w:szCs w:val="22"/>
        </w:rPr>
        <w:t xml:space="preserve"> přes </w:t>
      </w:r>
      <w:r w:rsidR="00AB1A75" w:rsidRPr="00562140">
        <w:rPr>
          <w:rFonts w:ascii="Arial" w:hAnsi="Arial" w:cs="Arial"/>
          <w:b/>
          <w:bCs/>
          <w:sz w:val="22"/>
          <w:szCs w:val="22"/>
        </w:rPr>
        <w:t>RFID</w:t>
      </w:r>
      <w:r w:rsidR="00AB1A75" w:rsidRPr="00AB1A75">
        <w:rPr>
          <w:rFonts w:ascii="Arial" w:hAnsi="Arial" w:cs="Arial"/>
          <w:b/>
          <w:bCs/>
          <w:sz w:val="22"/>
          <w:szCs w:val="22"/>
        </w:rPr>
        <w:t xml:space="preserve"> čtečku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="00AB1A75" w:rsidRPr="00AB1A75">
        <w:rPr>
          <w:rFonts w:ascii="Arial" w:hAnsi="Arial" w:cs="Arial"/>
          <w:b/>
          <w:bCs/>
          <w:sz w:val="22"/>
          <w:szCs w:val="22"/>
        </w:rPr>
        <w:t>ezkontaktních karet</w:t>
      </w:r>
    </w:p>
    <w:p w14:paraId="4D1C0EE3" w14:textId="2AC53AD8" w:rsidR="007C53F4" w:rsidRPr="00D444A2" w:rsidRDefault="00AB1A75" w:rsidP="009C5A5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444A2">
        <w:rPr>
          <w:rFonts w:ascii="Arial" w:hAnsi="Arial" w:cs="Arial"/>
          <w:sz w:val="22"/>
          <w:szCs w:val="22"/>
        </w:rPr>
        <w:t>Dodavatel p</w:t>
      </w:r>
      <w:r w:rsidR="007C53F4" w:rsidRPr="00D444A2">
        <w:rPr>
          <w:rFonts w:ascii="Arial" w:hAnsi="Arial" w:cs="Arial"/>
          <w:sz w:val="22"/>
          <w:szCs w:val="22"/>
        </w:rPr>
        <w:t xml:space="preserve">ředvede </w:t>
      </w:r>
      <w:r w:rsidR="00571334" w:rsidRPr="00D444A2">
        <w:rPr>
          <w:rFonts w:ascii="Arial" w:hAnsi="Arial" w:cs="Arial"/>
          <w:sz w:val="22"/>
          <w:szCs w:val="22"/>
        </w:rPr>
        <w:t>ověření uživatele prostřednictvím AD, včetně následného předávání identity do spouštěných aplikací a webových stránek (metoda SSO)</w:t>
      </w:r>
      <w:r w:rsidR="00D60949" w:rsidRPr="00D444A2">
        <w:rPr>
          <w:rFonts w:ascii="Arial" w:hAnsi="Arial" w:cs="Arial"/>
          <w:sz w:val="22"/>
          <w:szCs w:val="22"/>
        </w:rPr>
        <w:t>.</w:t>
      </w:r>
    </w:p>
    <w:p w14:paraId="4D1C0EE4" w14:textId="77777777" w:rsidR="00F529D3" w:rsidRPr="00D444A2" w:rsidRDefault="00F529D3" w:rsidP="009C5A5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444A2">
        <w:rPr>
          <w:rFonts w:ascii="Arial" w:hAnsi="Arial" w:cs="Arial"/>
          <w:sz w:val="22"/>
          <w:szCs w:val="22"/>
        </w:rPr>
        <w:t>Doba předvedení: maximálně 5 minut.</w:t>
      </w:r>
    </w:p>
    <w:p w14:paraId="4D1C0EE5" w14:textId="77777777" w:rsidR="007C53F4" w:rsidRPr="00101784" w:rsidRDefault="007C53F4" w:rsidP="009C5A5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D1C0EE6" w14:textId="77777777" w:rsidR="007C53F4" w:rsidRPr="007328AB" w:rsidRDefault="009F41D3" w:rsidP="009C5A5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7C53F4" w:rsidRPr="007328AB">
        <w:rPr>
          <w:rFonts w:ascii="Arial" w:hAnsi="Arial" w:cs="Arial"/>
          <w:b/>
          <w:bCs/>
          <w:sz w:val="22"/>
          <w:szCs w:val="22"/>
        </w:rPr>
        <w:t xml:space="preserve">. </w:t>
      </w:r>
      <w:r w:rsidR="006B153C" w:rsidRPr="00AB1A75">
        <w:rPr>
          <w:rFonts w:ascii="Arial" w:hAnsi="Arial" w:cs="Arial"/>
          <w:b/>
          <w:bCs/>
          <w:sz w:val="22"/>
          <w:szCs w:val="22"/>
        </w:rPr>
        <w:t xml:space="preserve">Probuzení kiosku prostřednictvím přiložení </w:t>
      </w:r>
      <w:r>
        <w:rPr>
          <w:rFonts w:ascii="Arial" w:hAnsi="Arial" w:cs="Arial"/>
          <w:b/>
          <w:bCs/>
          <w:sz w:val="22"/>
          <w:szCs w:val="22"/>
        </w:rPr>
        <w:t>identifikační k</w:t>
      </w:r>
      <w:r w:rsidRPr="00AB1A75">
        <w:rPr>
          <w:rFonts w:ascii="Arial" w:hAnsi="Arial" w:cs="Arial"/>
          <w:b/>
          <w:bCs/>
          <w:sz w:val="22"/>
          <w:szCs w:val="22"/>
        </w:rPr>
        <w:t xml:space="preserve">arty </w:t>
      </w:r>
      <w:r>
        <w:rPr>
          <w:rFonts w:ascii="Arial" w:hAnsi="Arial" w:cs="Arial"/>
          <w:b/>
          <w:bCs/>
          <w:sz w:val="22"/>
          <w:szCs w:val="22"/>
        </w:rPr>
        <w:t xml:space="preserve">zaměstnance </w:t>
      </w:r>
      <w:proofErr w:type="spellStart"/>
      <w:r w:rsidRPr="00AB1A75">
        <w:rPr>
          <w:rFonts w:ascii="Arial" w:hAnsi="Arial" w:cs="Arial"/>
          <w:b/>
          <w:bCs/>
          <w:sz w:val="22"/>
          <w:szCs w:val="22"/>
        </w:rPr>
        <w:t>Mifare-Desfire</w:t>
      </w:r>
      <w:proofErr w:type="spellEnd"/>
    </w:p>
    <w:p w14:paraId="4D1C0EE7" w14:textId="77777777" w:rsidR="00916E1D" w:rsidRDefault="00AB1A75" w:rsidP="00AB1A7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916E1D">
        <w:rPr>
          <w:rFonts w:ascii="Arial" w:hAnsi="Arial" w:cs="Arial"/>
          <w:sz w:val="22"/>
          <w:szCs w:val="22"/>
        </w:rPr>
        <w:t xml:space="preserve">přiložením </w:t>
      </w:r>
      <w:r w:rsidR="009F41D3">
        <w:rPr>
          <w:rFonts w:ascii="Arial" w:eastAsia="Arial" w:hAnsi="Arial" w:cs="Arial"/>
          <w:color w:val="000000"/>
          <w:kern w:val="0"/>
          <w:sz w:val="22"/>
          <w:szCs w:val="22"/>
          <w:lang w:eastAsia="cs-CZ" w:bidi="ar-SA"/>
        </w:rPr>
        <w:t xml:space="preserve">identifikační </w:t>
      </w:r>
      <w:r w:rsidR="00916E1D">
        <w:rPr>
          <w:rFonts w:ascii="Arial" w:hAnsi="Arial" w:cs="Arial"/>
          <w:sz w:val="22"/>
          <w:szCs w:val="22"/>
        </w:rPr>
        <w:t xml:space="preserve">karty </w:t>
      </w:r>
      <w:r w:rsidR="009F41D3">
        <w:rPr>
          <w:rFonts w:ascii="Arial" w:hAnsi="Arial" w:cs="Arial"/>
          <w:sz w:val="22"/>
          <w:szCs w:val="22"/>
        </w:rPr>
        <w:t xml:space="preserve">zaměstnance </w:t>
      </w:r>
      <w:r w:rsidR="00916E1D">
        <w:rPr>
          <w:rFonts w:ascii="Arial" w:hAnsi="Arial" w:cs="Arial"/>
          <w:sz w:val="22"/>
          <w:szCs w:val="22"/>
        </w:rPr>
        <w:t>probudí neaktivní kiosek.</w:t>
      </w:r>
    </w:p>
    <w:p w14:paraId="4D1C0EE8" w14:textId="77777777" w:rsidR="00F529D3" w:rsidRPr="001B4281" w:rsidRDefault="00F529D3" w:rsidP="00AB1A7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předvedení: maximálně 5 minut.</w:t>
      </w:r>
    </w:p>
    <w:p w14:paraId="4D1C0EE9" w14:textId="77777777" w:rsidR="007C53F4" w:rsidRDefault="007C53F4" w:rsidP="009C5A54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4D1C0EEA" w14:textId="77777777" w:rsidR="00101784" w:rsidRPr="00425BD3" w:rsidRDefault="009F41D3" w:rsidP="0010178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101784" w:rsidRPr="00425BD3">
        <w:rPr>
          <w:rFonts w:ascii="Arial" w:hAnsi="Arial" w:cs="Arial"/>
          <w:b/>
          <w:bCs/>
          <w:sz w:val="22"/>
          <w:szCs w:val="22"/>
        </w:rPr>
        <w:t xml:space="preserve">. </w:t>
      </w:r>
      <w:r w:rsidR="006B153C" w:rsidRPr="00AB1A75">
        <w:rPr>
          <w:rFonts w:ascii="Arial" w:hAnsi="Arial" w:cs="Arial"/>
          <w:b/>
          <w:bCs/>
          <w:sz w:val="22"/>
          <w:szCs w:val="22"/>
        </w:rPr>
        <w:t>Zasílání notifikací o stavu zařízení</w:t>
      </w:r>
    </w:p>
    <w:p w14:paraId="4D1C0EEB" w14:textId="77777777" w:rsidR="00AB1A75" w:rsidRPr="001B4281" w:rsidRDefault="00AB1A75" w:rsidP="00AB1A75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F529D3">
        <w:rPr>
          <w:rFonts w:ascii="Arial" w:hAnsi="Arial" w:cs="Arial"/>
          <w:sz w:val="22"/>
          <w:szCs w:val="22"/>
        </w:rPr>
        <w:t>odešle prostřednictvím e-mailu notifikační zprávu při nedostatku papíru.</w:t>
      </w:r>
    </w:p>
    <w:p w14:paraId="4D1C0EEC" w14:textId="77777777" w:rsidR="007C53F4" w:rsidRDefault="00D60949" w:rsidP="009C5A54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předvedení: maximálně 5</w:t>
      </w:r>
      <w:r w:rsidR="00F529D3">
        <w:rPr>
          <w:rFonts w:ascii="Arial" w:hAnsi="Arial" w:cs="Arial"/>
          <w:sz w:val="22"/>
          <w:szCs w:val="22"/>
        </w:rPr>
        <w:t xml:space="preserve"> minut.</w:t>
      </w:r>
    </w:p>
    <w:p w14:paraId="4D1C0EED" w14:textId="77777777" w:rsidR="00216AB6" w:rsidRPr="009C5A54" w:rsidRDefault="00216AB6" w:rsidP="009C5A54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sectPr w:rsidR="00216AB6" w:rsidRPr="009C5A54" w:rsidSect="00EC50A8">
      <w:headerReference w:type="default" r:id="rId7"/>
      <w:footerReference w:type="default" r:id="rId8"/>
      <w:pgSz w:w="11906" w:h="16838"/>
      <w:pgMar w:top="566" w:right="566" w:bottom="566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2DC42" w14:textId="77777777" w:rsidR="00552197" w:rsidRDefault="00552197" w:rsidP="002D3AA8">
      <w:pPr>
        <w:spacing w:before="0" w:after="0" w:line="240" w:lineRule="auto"/>
      </w:pPr>
      <w:r>
        <w:separator/>
      </w:r>
    </w:p>
  </w:endnote>
  <w:endnote w:type="continuationSeparator" w:id="0">
    <w:p w14:paraId="75463EF8" w14:textId="77777777" w:rsidR="00552197" w:rsidRDefault="00552197" w:rsidP="002D3A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C0EF8" w14:textId="77777777" w:rsidR="00EC50A8" w:rsidRDefault="007752B8">
    <w:pPr>
      <w:pStyle w:val="Normln1"/>
      <w:rPr>
        <w:color w:val="666666"/>
        <w:sz w:val="12"/>
        <w:szCs w:val="12"/>
      </w:rPr>
    </w:pPr>
  </w:p>
  <w:tbl>
    <w:tblPr>
      <w:tblW w:w="9781" w:type="dxa"/>
      <w:tblLayout w:type="fixed"/>
      <w:tblLook w:val="0600" w:firstRow="0" w:lastRow="0" w:firstColumn="0" w:lastColumn="0" w:noHBand="1" w:noVBand="1"/>
    </w:tblPr>
    <w:tblGrid>
      <w:gridCol w:w="6379"/>
      <w:gridCol w:w="3402"/>
    </w:tblGrid>
    <w:tr w:rsidR="00EC50A8" w14:paraId="4D1C0EFB" w14:textId="77777777" w:rsidTr="00B82303">
      <w:tc>
        <w:tcPr>
          <w:tcW w:w="6379" w:type="dxa"/>
          <w:tcMar>
            <w:left w:w="0" w:type="dxa"/>
            <w:right w:w="0" w:type="dxa"/>
          </w:tcMar>
        </w:tcPr>
        <w:p w14:paraId="4D1C0EF9" w14:textId="77777777" w:rsidR="00EC50A8" w:rsidRPr="002D3AA8" w:rsidRDefault="007752B8" w:rsidP="00382FE1">
          <w:pPr>
            <w:pStyle w:val="Normln1"/>
            <w:widowControl w:val="0"/>
            <w:spacing w:line="240" w:lineRule="auto"/>
            <w:rPr>
              <w:color w:val="808080" w:themeColor="background1" w:themeShade="80"/>
              <w:sz w:val="20"/>
              <w:szCs w:val="20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4D1C0EFA" w14:textId="77777777" w:rsidR="00EC50A8" w:rsidRDefault="007752B8">
          <w:pPr>
            <w:pStyle w:val="Normln1"/>
            <w:jc w:val="right"/>
            <w:rPr>
              <w:color w:val="666666"/>
              <w:sz w:val="20"/>
              <w:szCs w:val="20"/>
            </w:rPr>
          </w:pPr>
        </w:p>
      </w:tc>
    </w:tr>
  </w:tbl>
  <w:p w14:paraId="4D1C0EFC" w14:textId="77777777" w:rsidR="00EC50A8" w:rsidRDefault="007752B8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66B46" w14:textId="77777777" w:rsidR="00552197" w:rsidRDefault="00552197" w:rsidP="002D3AA8">
      <w:pPr>
        <w:spacing w:before="0" w:after="0" w:line="240" w:lineRule="auto"/>
      </w:pPr>
      <w:r>
        <w:separator/>
      </w:r>
    </w:p>
  </w:footnote>
  <w:footnote w:type="continuationSeparator" w:id="0">
    <w:p w14:paraId="7D15EB01" w14:textId="77777777" w:rsidR="00552197" w:rsidRDefault="00552197" w:rsidP="002D3AA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C0EF3" w14:textId="77777777" w:rsidR="00EC50A8" w:rsidRDefault="007752B8">
    <w:pPr>
      <w:pStyle w:val="Normln1"/>
      <w:spacing w:before="60" w:after="60"/>
      <w:ind w:left="720" w:hanging="360"/>
    </w:pPr>
  </w:p>
  <w:tbl>
    <w:tblPr>
      <w:tblW w:w="9921" w:type="dxa"/>
      <w:jc w:val="right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EC50A8" w14:paraId="4D1C0EF6" w14:textId="77777777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4D1C0EF4" w14:textId="77777777" w:rsidR="00EC50A8" w:rsidRDefault="00661658">
          <w:pPr>
            <w:pStyle w:val="Normln1"/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4D1C0EFD" wp14:editId="4D1C0EFE">
                <wp:extent cx="1800225" cy="508000"/>
                <wp:effectExtent l="0" t="0" r="0" b="0"/>
                <wp:docPr id="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14:paraId="4D1C0EF5" w14:textId="77777777" w:rsidR="00EC50A8" w:rsidRDefault="00661658">
          <w:pPr>
            <w:pStyle w:val="Normln1"/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4D1C0EFF" wp14:editId="4D1C0F00">
                <wp:extent cx="1914525" cy="600075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D1C0EF7" w14:textId="77777777" w:rsidR="00EC50A8" w:rsidRDefault="007752B8">
    <w:pPr>
      <w:pStyle w:val="Normln1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756"/>
    <w:multiLevelType w:val="hybridMultilevel"/>
    <w:tmpl w:val="D87ED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2B8"/>
    <w:multiLevelType w:val="multilevel"/>
    <w:tmpl w:val="AB60FF8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2D572E6F"/>
    <w:multiLevelType w:val="multilevel"/>
    <w:tmpl w:val="40766F1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4491222C"/>
    <w:multiLevelType w:val="multilevel"/>
    <w:tmpl w:val="77CA1488"/>
    <w:styleLink w:val="WWNum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515A266A"/>
    <w:multiLevelType w:val="multilevel"/>
    <w:tmpl w:val="ED580A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616C4346"/>
    <w:multiLevelType w:val="hybridMultilevel"/>
    <w:tmpl w:val="3EC21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590B"/>
    <w:multiLevelType w:val="multilevel"/>
    <w:tmpl w:val="67909E4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70C17785"/>
    <w:multiLevelType w:val="multilevel"/>
    <w:tmpl w:val="D99CF3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73B008CF"/>
    <w:multiLevelType w:val="multilevel"/>
    <w:tmpl w:val="17F0B09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7A6970FD"/>
    <w:multiLevelType w:val="multilevel"/>
    <w:tmpl w:val="B77A539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A8"/>
    <w:rsid w:val="00047B02"/>
    <w:rsid w:val="000B56B2"/>
    <w:rsid w:val="000D09ED"/>
    <w:rsid w:val="000F0B9D"/>
    <w:rsid w:val="00101784"/>
    <w:rsid w:val="00141925"/>
    <w:rsid w:val="00144765"/>
    <w:rsid w:val="001B4281"/>
    <w:rsid w:val="001D5A2E"/>
    <w:rsid w:val="00200011"/>
    <w:rsid w:val="00216AB6"/>
    <w:rsid w:val="00240893"/>
    <w:rsid w:val="00291732"/>
    <w:rsid w:val="002A6E8D"/>
    <w:rsid w:val="002C7C71"/>
    <w:rsid w:val="002D3AA8"/>
    <w:rsid w:val="002E7F43"/>
    <w:rsid w:val="00343F67"/>
    <w:rsid w:val="00360186"/>
    <w:rsid w:val="00382FE1"/>
    <w:rsid w:val="003D5FD5"/>
    <w:rsid w:val="004150A0"/>
    <w:rsid w:val="00425BD3"/>
    <w:rsid w:val="0044369E"/>
    <w:rsid w:val="004701E6"/>
    <w:rsid w:val="00530A78"/>
    <w:rsid w:val="005425BF"/>
    <w:rsid w:val="00552197"/>
    <w:rsid w:val="00562140"/>
    <w:rsid w:val="00571334"/>
    <w:rsid w:val="00572C7B"/>
    <w:rsid w:val="005747E6"/>
    <w:rsid w:val="0062437B"/>
    <w:rsid w:val="00635977"/>
    <w:rsid w:val="00661658"/>
    <w:rsid w:val="00661D29"/>
    <w:rsid w:val="0067532A"/>
    <w:rsid w:val="00685DC3"/>
    <w:rsid w:val="006B153C"/>
    <w:rsid w:val="006B672F"/>
    <w:rsid w:val="006B7DDB"/>
    <w:rsid w:val="006C10F6"/>
    <w:rsid w:val="006E16EF"/>
    <w:rsid w:val="0072105B"/>
    <w:rsid w:val="00727B78"/>
    <w:rsid w:val="007328AB"/>
    <w:rsid w:val="00772CA2"/>
    <w:rsid w:val="007752B8"/>
    <w:rsid w:val="00794878"/>
    <w:rsid w:val="007C53F4"/>
    <w:rsid w:val="007F6976"/>
    <w:rsid w:val="008F4BD1"/>
    <w:rsid w:val="008F7A41"/>
    <w:rsid w:val="00916E1D"/>
    <w:rsid w:val="00963A7C"/>
    <w:rsid w:val="00972468"/>
    <w:rsid w:val="00994FAF"/>
    <w:rsid w:val="009A43C6"/>
    <w:rsid w:val="009C2B4C"/>
    <w:rsid w:val="009C5A54"/>
    <w:rsid w:val="009E48F0"/>
    <w:rsid w:val="009F3290"/>
    <w:rsid w:val="009F41D3"/>
    <w:rsid w:val="009F75D5"/>
    <w:rsid w:val="00A65DC7"/>
    <w:rsid w:val="00A67A76"/>
    <w:rsid w:val="00AB1A75"/>
    <w:rsid w:val="00B44576"/>
    <w:rsid w:val="00B534EC"/>
    <w:rsid w:val="00B71E70"/>
    <w:rsid w:val="00B77E55"/>
    <w:rsid w:val="00B82303"/>
    <w:rsid w:val="00C22B9D"/>
    <w:rsid w:val="00C261D1"/>
    <w:rsid w:val="00C81BBF"/>
    <w:rsid w:val="00D444A2"/>
    <w:rsid w:val="00D60949"/>
    <w:rsid w:val="00DA56E4"/>
    <w:rsid w:val="00DB3D33"/>
    <w:rsid w:val="00DC5EA8"/>
    <w:rsid w:val="00E51F71"/>
    <w:rsid w:val="00E64B43"/>
    <w:rsid w:val="00EF0401"/>
    <w:rsid w:val="00F058BF"/>
    <w:rsid w:val="00F22D8A"/>
    <w:rsid w:val="00F3513B"/>
    <w:rsid w:val="00F529D3"/>
    <w:rsid w:val="00F805C3"/>
    <w:rsid w:val="00F84060"/>
    <w:rsid w:val="00FC68F6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1C0ECE"/>
  <w15:docId w15:val="{09E56C87-F1C3-421D-B0E3-B8FA750A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AA8"/>
    <w:pPr>
      <w:spacing w:before="100" w:after="100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basedOn w:val="Normln1"/>
    <w:next w:val="Normln1"/>
    <w:link w:val="Nadpis1Char"/>
    <w:rsid w:val="002D3AA8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link w:val="Nadpis2Char"/>
    <w:rsid w:val="002D3AA8"/>
    <w:pPr>
      <w:keepNext/>
      <w:keepLines/>
      <w:spacing w:before="2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link w:val="Nadpis3Char"/>
    <w:rsid w:val="002D3AA8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3AA8"/>
    <w:rPr>
      <w:rFonts w:ascii="Arial" w:eastAsia="Arial" w:hAnsi="Arial" w:cs="Arial"/>
      <w:b/>
      <w:color w:val="000000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D3AA8"/>
    <w:rPr>
      <w:rFonts w:ascii="Arial" w:eastAsia="Arial" w:hAnsi="Arial" w:cs="Arial"/>
      <w:b/>
      <w:color w:val="00000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3AA8"/>
    <w:rPr>
      <w:rFonts w:ascii="Arial" w:eastAsia="Arial" w:hAnsi="Arial" w:cs="Arial"/>
      <w:b/>
      <w:color w:val="000000"/>
      <w:sz w:val="24"/>
      <w:szCs w:val="24"/>
      <w:lang w:eastAsia="cs-CZ"/>
    </w:rPr>
  </w:style>
  <w:style w:type="paragraph" w:customStyle="1" w:styleId="Normln1">
    <w:name w:val="Normální1"/>
    <w:rsid w:val="002D3AA8"/>
    <w:pPr>
      <w:spacing w:before="100" w:after="100"/>
    </w:pPr>
    <w:rPr>
      <w:rFonts w:ascii="Arial" w:eastAsia="Arial" w:hAnsi="Arial" w:cs="Arial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A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A8"/>
    <w:rPr>
      <w:rFonts w:ascii="Tahoma" w:eastAsia="Arial" w:hAnsi="Tahoma" w:cs="Tahoma"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3A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AA8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3AA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AA8"/>
    <w:rPr>
      <w:rFonts w:ascii="Arial" w:eastAsia="Arial" w:hAnsi="Arial" w:cs="Arial"/>
      <w:color w:val="000000"/>
      <w:lang w:eastAsia="cs-CZ"/>
    </w:rPr>
  </w:style>
  <w:style w:type="paragraph" w:customStyle="1" w:styleId="Standard">
    <w:name w:val="Standard"/>
    <w:rsid w:val="007C53F4"/>
    <w:pPr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7C53F4"/>
    <w:pPr>
      <w:suppressAutoHyphens/>
      <w:autoSpaceDN w:val="0"/>
      <w:spacing w:after="0" w:line="240" w:lineRule="auto"/>
      <w:textAlignment w:val="baseline"/>
    </w:pPr>
    <w:rPr>
      <w:rFonts w:ascii="Liberation Serif" w:eastAsia="Droid Sans" w:hAnsi="Liberation Serif" w:cs="Lohit Hindi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seznamu"/>
    <w:rsid w:val="007C53F4"/>
    <w:pPr>
      <w:numPr>
        <w:numId w:val="7"/>
      </w:numPr>
    </w:pPr>
  </w:style>
  <w:style w:type="character" w:styleId="Zdraznnjemn">
    <w:name w:val="Subtle Emphasis"/>
    <w:basedOn w:val="Standardnpsmoodstavce"/>
    <w:uiPriority w:val="19"/>
    <w:qFormat/>
    <w:rsid w:val="0067532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67532A"/>
    <w:rPr>
      <w:i/>
      <w:iCs/>
    </w:rPr>
  </w:style>
  <w:style w:type="paragraph" w:styleId="Normlnweb">
    <w:name w:val="Normal (Web)"/>
    <w:basedOn w:val="Normln"/>
    <w:uiPriority w:val="99"/>
    <w:unhideWhenUsed/>
    <w:rsid w:val="0067532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Mkatabulky">
    <w:name w:val="Table Grid"/>
    <w:basedOn w:val="Normlntabulka"/>
    <w:uiPriority w:val="59"/>
    <w:rsid w:val="0067532A"/>
    <w:pPr>
      <w:spacing w:after="0" w:line="240" w:lineRule="auto"/>
    </w:pPr>
    <w:rPr>
      <w:rFonts w:ascii="Arial" w:eastAsia="Arial" w:hAnsi="Arial" w:cs="Arial"/>
      <w:color w:val="00000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vaverkar</dc:creator>
  <cp:lastModifiedBy>Kubátková Hana, Ing.</cp:lastModifiedBy>
  <cp:revision>5</cp:revision>
  <cp:lastPrinted>2018-03-21T06:01:00Z</cp:lastPrinted>
  <dcterms:created xsi:type="dcterms:W3CDTF">2022-03-22T08:23:00Z</dcterms:created>
  <dcterms:modified xsi:type="dcterms:W3CDTF">2022-03-22T12:16:00Z</dcterms:modified>
</cp:coreProperties>
</file>