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77AEB35E"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 15 kalendářních dnů ode dne uzavření příslušné Dílčí smlouvy.</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46920566">
          <wp:simplePos x="0" y="0"/>
          <wp:positionH relativeFrom="margin">
            <wp:posOffset>26670</wp:posOffset>
          </wp:positionH>
          <wp:positionV relativeFrom="margin">
            <wp:posOffset>9395460</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970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12535</Words>
  <Characters>75046</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2022-05-24T05:53:00Z</dcterms:created>
  <dcterms:modified xsi:type="dcterms:W3CDTF">2022-05-24T07:34:00Z</dcterms:modified>
</cp:coreProperties>
</file>