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1A47C44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D265B4" w:rsidRPr="00A9786B">
              <w:rPr>
                <w:b/>
                <w:bCs/>
                <w:sz w:val="22"/>
                <w:szCs w:val="22"/>
              </w:rPr>
              <w:t>Realizace protihlukových opatření na ul. Výškovická</w:t>
            </w:r>
            <w:r w:rsidR="00D265B4">
              <w:rPr>
                <w:b/>
                <w:bCs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FB49A24" w:rsidR="00AB0F24" w:rsidRPr="00CF6FED" w:rsidRDefault="007616DE" w:rsidP="00D265B4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D265B4">
              <w:rPr>
                <w:noProof/>
                <w:sz w:val="22"/>
                <w:szCs w:val="22"/>
              </w:rPr>
              <w:t>84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265B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  <w:bookmarkStart w:id="1" w:name="_GoBack"/>
      <w:bookmarkEnd w:id="1"/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F99A55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265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265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20</cp:revision>
  <cp:lastPrinted>2022-06-07T07:42:00Z</cp:lastPrinted>
  <dcterms:created xsi:type="dcterms:W3CDTF">2022-05-10T08:25:00Z</dcterms:created>
  <dcterms:modified xsi:type="dcterms:W3CDTF">2022-07-20T09:13:00Z</dcterms:modified>
</cp:coreProperties>
</file>