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  <w:bookmarkStart w:id="0" w:name="_GoBack"/>
      <w:bookmarkEnd w:id="0"/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68D3400C" w:rsidR="00AB0F24" w:rsidRPr="00A9786B" w:rsidRDefault="00AB0F24" w:rsidP="003E6815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E9063E">
              <w:rPr>
                <w:b/>
                <w:bCs/>
                <w:sz w:val="22"/>
                <w:szCs w:val="22"/>
              </w:rPr>
              <w:t>Dodávka informačních kiosků II.</w:t>
            </w:r>
            <w:r w:rsidR="003E681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1EBA2B11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E9063E">
              <w:rPr>
                <w:noProof/>
                <w:sz w:val="22"/>
                <w:szCs w:val="22"/>
              </w:rPr>
              <w:t>90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BB2D4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0D898AC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B2D4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B2D4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5BD8F6F3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B2D4F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B2D4F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57A1D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063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6</cp:revision>
  <cp:lastPrinted>2022-06-08T12:40:00Z</cp:lastPrinted>
  <dcterms:created xsi:type="dcterms:W3CDTF">2022-05-12T07:09:00Z</dcterms:created>
  <dcterms:modified xsi:type="dcterms:W3CDTF">2022-08-09T07:46:00Z</dcterms:modified>
</cp:coreProperties>
</file>