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51456" w14:textId="5B6999D5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Smlouva: </w:t>
      </w:r>
      <w:r w:rsidRPr="002A1E34">
        <w:rPr>
          <w:szCs w:val="22"/>
        </w:rPr>
        <w:tab/>
      </w:r>
      <w:r w:rsidR="00B4107B">
        <w:rPr>
          <w:szCs w:val="22"/>
        </w:rPr>
        <w:t>P</w:t>
      </w:r>
      <w:r w:rsidR="00B4107B" w:rsidRPr="00263E39">
        <w:rPr>
          <w:szCs w:val="22"/>
        </w:rPr>
        <w:t>rovedení průběžného a závěrečného auditu účetní závěrky Dopravního podniku Ostrava a. s.</w:t>
      </w:r>
      <w:r w:rsidR="00B4107B">
        <w:rPr>
          <w:szCs w:val="22"/>
        </w:rPr>
        <w:t xml:space="preserve"> </w:t>
      </w:r>
      <w:r w:rsidR="00201292">
        <w:rPr>
          <w:szCs w:val="22"/>
        </w:rPr>
        <w:t>za účetní období 2023</w:t>
      </w:r>
      <w:r w:rsidR="00B4107B">
        <w:rPr>
          <w:szCs w:val="22"/>
        </w:rPr>
        <w:t>, 202</w:t>
      </w:r>
      <w:r w:rsidR="00201292">
        <w:rPr>
          <w:szCs w:val="22"/>
        </w:rPr>
        <w:t>4</w:t>
      </w:r>
      <w:r w:rsidR="00B4107B">
        <w:rPr>
          <w:szCs w:val="22"/>
        </w:rPr>
        <w:t>, 202</w:t>
      </w:r>
      <w:r w:rsidR="00201292">
        <w:rPr>
          <w:szCs w:val="22"/>
        </w:rPr>
        <w:t>5</w:t>
      </w:r>
      <w:r w:rsidR="00B4107B">
        <w:rPr>
          <w:szCs w:val="22"/>
        </w:rPr>
        <w:t xml:space="preserve"> a 202</w:t>
      </w:r>
      <w:r w:rsidR="00201292">
        <w:rPr>
          <w:szCs w:val="22"/>
        </w:rPr>
        <w:t>6</w:t>
      </w:r>
    </w:p>
    <w:p w14:paraId="496A2366" w14:textId="1574BFE8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8A5F2C">
        <w:rPr>
          <w:szCs w:val="22"/>
        </w:rPr>
        <w:t>„auditora“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5E67CA" w:rsidRPr="00073BF1">
        <w:rPr>
          <w:i/>
          <w:color w:val="00B0F0"/>
        </w:rPr>
        <w:t>(</w:t>
      </w:r>
      <w:r w:rsidR="005E67CA">
        <w:rPr>
          <w:i/>
          <w:color w:val="00B0F0"/>
        </w:rPr>
        <w:t>Pozn.: D</w:t>
      </w:r>
      <w:r w:rsidR="005E67CA" w:rsidRPr="00073BF1">
        <w:rPr>
          <w:i/>
          <w:color w:val="00B0F0"/>
        </w:rPr>
        <w:t xml:space="preserve">oplní </w:t>
      </w:r>
      <w:r w:rsidR="005E67CA">
        <w:rPr>
          <w:i/>
          <w:color w:val="00B0F0"/>
        </w:rPr>
        <w:t>auditor, poté poznámku vymaže.</w:t>
      </w:r>
      <w:r w:rsidR="005E67CA" w:rsidRPr="00073BF1">
        <w:rPr>
          <w:i/>
          <w:color w:val="00B0F0"/>
        </w:rPr>
        <w:t>)</w:t>
      </w:r>
    </w:p>
    <w:p w14:paraId="07DCD913" w14:textId="025FE689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8A5F2C">
        <w:rPr>
          <w:szCs w:val="22"/>
        </w:rPr>
        <w:t>„klienta“</w:t>
      </w:r>
      <w:r w:rsidRPr="002A1E34">
        <w:rPr>
          <w:szCs w:val="22"/>
        </w:rPr>
        <w:t xml:space="preserve">: </w:t>
      </w:r>
      <w:r w:rsidR="006452FA">
        <w:rPr>
          <w:szCs w:val="22"/>
        </w:rPr>
        <w:tab/>
      </w:r>
      <w:r w:rsidR="005E67CA">
        <w:rPr>
          <w:i/>
          <w:color w:val="00B0F0"/>
          <w:szCs w:val="22"/>
        </w:rPr>
        <w:t>(Pozn.: D</w:t>
      </w:r>
      <w:r w:rsidR="005E67CA" w:rsidRPr="00B52CF4">
        <w:rPr>
          <w:i/>
          <w:color w:val="00B0F0"/>
          <w:szCs w:val="22"/>
        </w:rPr>
        <w:t xml:space="preserve">oplní </w:t>
      </w:r>
      <w:r w:rsidR="005E67CA">
        <w:rPr>
          <w:i/>
          <w:color w:val="00B0F0"/>
          <w:szCs w:val="22"/>
        </w:rPr>
        <w:t>klient.)</w:t>
      </w:r>
    </w:p>
    <w:p w14:paraId="3E805949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72CDC">
        <w:rPr>
          <w:sz w:val="24"/>
          <w:szCs w:val="24"/>
        </w:rPr>
        <w:t xml:space="preserve">2 </w:t>
      </w:r>
      <w:r w:rsidR="000B26FB">
        <w:rPr>
          <w:sz w:val="24"/>
          <w:szCs w:val="24"/>
        </w:rPr>
        <w:t>smlouvy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 xml:space="preserve">Vymezení obchodního tajemství </w:t>
      </w:r>
      <w:r w:rsidR="000B26FB">
        <w:rPr>
          <w:sz w:val="24"/>
          <w:szCs w:val="24"/>
        </w:rPr>
        <w:t>„auditora“</w:t>
      </w:r>
      <w:r w:rsidR="00B522C5" w:rsidRPr="00B522C5">
        <w:rPr>
          <w:sz w:val="24"/>
          <w:szCs w:val="24"/>
        </w:rPr>
        <w:t xml:space="preserve"> </w:t>
      </w:r>
    </w:p>
    <w:p w14:paraId="04A0470E" w14:textId="100827D1" w:rsidR="005E67CA" w:rsidRPr="0081279C" w:rsidRDefault="005E67CA" w:rsidP="005E67CA">
      <w:pPr>
        <w:pStyle w:val="Textkomente"/>
        <w:jc w:val="both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POZN.: </w:t>
      </w:r>
      <w:r w:rsidRPr="0081279C">
        <w:rPr>
          <w:i/>
          <w:iCs/>
          <w:sz w:val="22"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D00037" w:rsidRPr="00D00037">
        <w:rPr>
          <w:i/>
          <w:iCs/>
          <w:sz w:val="22"/>
          <w:szCs w:val="22"/>
        </w:rPr>
        <w:t>Nabídkové</w:t>
      </w:r>
      <w:bookmarkStart w:id="0" w:name="_GoBack"/>
      <w:bookmarkEnd w:id="0"/>
      <w:r w:rsidR="00D00037" w:rsidRPr="00D00037">
        <w:rPr>
          <w:i/>
          <w:iCs/>
          <w:sz w:val="22"/>
          <w:szCs w:val="22"/>
        </w:rPr>
        <w:t xml:space="preserve"> ceny nemohou být předmětem obchodního tajemství. </w:t>
      </w:r>
      <w:r w:rsidRPr="0081279C">
        <w:rPr>
          <w:i/>
          <w:iCs/>
          <w:sz w:val="22"/>
          <w:szCs w:val="22"/>
        </w:rPr>
        <w:t xml:space="preserve">O finální podobě této přílohy musí panovat mezi stranami shoda, v opačném případě se tato příloha nestane součástí uzavřené smlouvy. </w:t>
      </w:r>
    </w:p>
    <w:p w14:paraId="13D29B9C" w14:textId="77777777" w:rsidR="005E67CA" w:rsidRPr="0081279C" w:rsidRDefault="005E67CA" w:rsidP="005E67CA">
      <w:pPr>
        <w:pStyle w:val="Textkomente"/>
        <w:rPr>
          <w:i/>
          <w:color w:val="00B0F0"/>
          <w:sz w:val="22"/>
          <w:szCs w:val="22"/>
        </w:rPr>
      </w:pPr>
    </w:p>
    <w:p w14:paraId="11A87A01" w14:textId="77777777" w:rsidR="005E67CA" w:rsidRPr="0081279C" w:rsidRDefault="005E67CA" w:rsidP="005E67CA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>Pozn.: „Auditor“ vybere jednu z variant, poté poznámku a druhou variantu vymaže.</w:t>
      </w:r>
    </w:p>
    <w:p w14:paraId="075D3309" w14:textId="77777777" w:rsidR="005E67CA" w:rsidRPr="0081279C" w:rsidRDefault="005E67CA" w:rsidP="005E67CA">
      <w:pPr>
        <w:pStyle w:val="Textkomente"/>
        <w:rPr>
          <w:i/>
          <w:color w:val="00B0F0"/>
          <w:sz w:val="22"/>
          <w:szCs w:val="22"/>
        </w:rPr>
      </w:pPr>
    </w:p>
    <w:p w14:paraId="1D7B9C5D" w14:textId="77777777" w:rsidR="005E67CA" w:rsidRPr="0081279C" w:rsidRDefault="005E67CA" w:rsidP="005E67CA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Var. 1 </w:t>
      </w:r>
    </w:p>
    <w:p w14:paraId="2A2A6930" w14:textId="77777777" w:rsidR="005E67CA" w:rsidRPr="0081279C" w:rsidRDefault="005E67CA" w:rsidP="005E67CA">
      <w:pPr>
        <w:pStyle w:val="Textkomente"/>
        <w:rPr>
          <w:iCs/>
          <w:sz w:val="22"/>
          <w:szCs w:val="22"/>
        </w:rPr>
      </w:pPr>
      <w:r w:rsidRPr="0081279C">
        <w:rPr>
          <w:iCs/>
          <w:sz w:val="22"/>
          <w:szCs w:val="22"/>
        </w:rPr>
        <w:t xml:space="preserve">„Auditor“ za své obchodní tajemství považuje: </w:t>
      </w:r>
    </w:p>
    <w:p w14:paraId="38122244" w14:textId="77777777" w:rsidR="005E67CA" w:rsidRPr="0081279C" w:rsidRDefault="005E67CA" w:rsidP="005E67CA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>………(Pozn.: Doplní auditor, poté poznámku vymaže.)</w:t>
      </w:r>
    </w:p>
    <w:p w14:paraId="2AB95DA6" w14:textId="77777777" w:rsidR="005E67CA" w:rsidRPr="0081279C" w:rsidRDefault="005E67CA" w:rsidP="005E67CA">
      <w:pPr>
        <w:pStyle w:val="Textkomente"/>
        <w:rPr>
          <w:iCs/>
          <w:sz w:val="22"/>
          <w:szCs w:val="22"/>
        </w:rPr>
      </w:pPr>
    </w:p>
    <w:p w14:paraId="244A8611" w14:textId="77777777" w:rsidR="005E67CA" w:rsidRPr="0081279C" w:rsidRDefault="005E67CA" w:rsidP="005E67CA">
      <w:pPr>
        <w:pStyle w:val="Textkomente"/>
        <w:rPr>
          <w:iCs/>
          <w:sz w:val="22"/>
          <w:szCs w:val="22"/>
        </w:rPr>
      </w:pPr>
    </w:p>
    <w:p w14:paraId="5A060F11" w14:textId="77777777" w:rsidR="005E67CA" w:rsidRPr="0081279C" w:rsidRDefault="005E67CA" w:rsidP="005E67CA">
      <w:pPr>
        <w:pStyle w:val="Textkomente"/>
        <w:rPr>
          <w:i/>
          <w:color w:val="00B0F0"/>
          <w:sz w:val="22"/>
          <w:szCs w:val="22"/>
        </w:rPr>
      </w:pPr>
      <w:r w:rsidRPr="0081279C">
        <w:rPr>
          <w:i/>
          <w:color w:val="00B0F0"/>
          <w:sz w:val="22"/>
          <w:szCs w:val="22"/>
        </w:rPr>
        <w:t xml:space="preserve">Var. 2 </w:t>
      </w:r>
    </w:p>
    <w:p w14:paraId="357CF7A9" w14:textId="77777777" w:rsidR="005E67CA" w:rsidRPr="0081279C" w:rsidRDefault="005E67CA" w:rsidP="005E67CA">
      <w:pPr>
        <w:pStyle w:val="Textkomente"/>
        <w:rPr>
          <w:rFonts w:eastAsiaTheme="minorHAnsi"/>
          <w:sz w:val="22"/>
          <w:szCs w:val="22"/>
        </w:rPr>
      </w:pPr>
      <w:r w:rsidRPr="0081279C">
        <w:rPr>
          <w:iCs/>
          <w:sz w:val="22"/>
          <w:szCs w:val="22"/>
        </w:rPr>
        <w:t>Žádné údaje, které jsou uvedeny ve smlouvě nebo v jejich přílohách, nepovažuje „auditor“ za své obchodní tajemství.</w:t>
      </w:r>
    </w:p>
    <w:p w14:paraId="276DE569" w14:textId="77777777" w:rsidR="00765E51" w:rsidRPr="0081279C" w:rsidRDefault="00765E51" w:rsidP="00765E51">
      <w:pPr>
        <w:rPr>
          <w:i/>
          <w:color w:val="00B0F0"/>
          <w:szCs w:val="22"/>
        </w:rPr>
      </w:pPr>
    </w:p>
    <w:p w14:paraId="3E06BC0B" w14:textId="77777777" w:rsidR="00765E51" w:rsidRPr="0081279C" w:rsidRDefault="00765E51" w:rsidP="00765E51">
      <w:pPr>
        <w:rPr>
          <w:i/>
          <w:color w:val="00B0F0"/>
          <w:szCs w:val="22"/>
        </w:rPr>
      </w:pPr>
    </w:p>
    <w:p w14:paraId="2368D61A" w14:textId="77777777" w:rsidR="00765E51" w:rsidRPr="0081279C" w:rsidRDefault="00765E51" w:rsidP="00765E51">
      <w:pPr>
        <w:rPr>
          <w:i/>
          <w:color w:val="00B0F0"/>
          <w:szCs w:val="22"/>
        </w:rPr>
      </w:pPr>
    </w:p>
    <w:p w14:paraId="07EA70B3" w14:textId="77777777" w:rsidR="002209A5" w:rsidRPr="0081279C" w:rsidRDefault="002209A5" w:rsidP="002209A5">
      <w:pPr>
        <w:rPr>
          <w:i/>
          <w:color w:val="00B0F0"/>
          <w:szCs w:val="22"/>
        </w:rPr>
      </w:pPr>
    </w:p>
    <w:p w14:paraId="47F240EB" w14:textId="77777777" w:rsidR="002209A5" w:rsidRPr="0081279C" w:rsidRDefault="002209A5" w:rsidP="002209A5">
      <w:pPr>
        <w:rPr>
          <w:i/>
          <w:color w:val="00B0F0"/>
          <w:szCs w:val="22"/>
        </w:rPr>
      </w:pPr>
    </w:p>
    <w:p w14:paraId="33B1528F" w14:textId="77777777" w:rsidR="002209A5" w:rsidRPr="0081279C" w:rsidRDefault="002209A5" w:rsidP="002209A5">
      <w:pPr>
        <w:rPr>
          <w:i/>
          <w:color w:val="00B0F0"/>
          <w:szCs w:val="22"/>
        </w:rPr>
      </w:pPr>
    </w:p>
    <w:p w14:paraId="34B913F6" w14:textId="083F5A61" w:rsidR="002209A5" w:rsidRPr="0081279C" w:rsidRDefault="002209A5" w:rsidP="002209A5">
      <w:pPr>
        <w:widowControl w:val="0"/>
        <w:ind w:right="21"/>
        <w:rPr>
          <w:szCs w:val="22"/>
        </w:rPr>
      </w:pPr>
      <w:r w:rsidRPr="0081279C">
        <w:rPr>
          <w:szCs w:val="22"/>
        </w:rPr>
        <w:t>V</w:t>
      </w:r>
      <w:r w:rsidR="0072534E">
        <w:rPr>
          <w:szCs w:val="22"/>
        </w:rPr>
        <w:t> </w:t>
      </w:r>
      <w:r w:rsidR="005E67CA">
        <w:rPr>
          <w:szCs w:val="22"/>
        </w:rPr>
        <w:t>………………..</w:t>
      </w:r>
      <w:r w:rsidR="0072534E">
        <w:rPr>
          <w:szCs w:val="22"/>
        </w:rPr>
        <w:t xml:space="preserve"> </w:t>
      </w:r>
      <w:r w:rsidRPr="0081279C">
        <w:rPr>
          <w:szCs w:val="22"/>
        </w:rPr>
        <w:t>dne</w:t>
      </w:r>
      <w:r w:rsidR="00FD1F74">
        <w:rPr>
          <w:szCs w:val="22"/>
        </w:rPr>
        <w:t xml:space="preserve"> </w:t>
      </w:r>
      <w:r w:rsidR="005E67CA" w:rsidRPr="0081279C">
        <w:rPr>
          <w:i/>
          <w:color w:val="00B0F0"/>
          <w:szCs w:val="22"/>
        </w:rPr>
        <w:t>(Pozn.: Doplní auditor, poté poznámku vymaže.)</w:t>
      </w:r>
    </w:p>
    <w:p w14:paraId="3B3FA04E" w14:textId="77777777" w:rsidR="002209A5" w:rsidRPr="0081279C" w:rsidRDefault="002209A5" w:rsidP="002209A5">
      <w:pPr>
        <w:pStyle w:val="Zkladntextodsazen"/>
        <w:ind w:left="360"/>
        <w:rPr>
          <w:szCs w:val="22"/>
        </w:rPr>
      </w:pPr>
      <w:r w:rsidRPr="0081279C">
        <w:rPr>
          <w:szCs w:val="22"/>
        </w:rPr>
        <w:tab/>
      </w:r>
    </w:p>
    <w:p w14:paraId="12F5A54F" w14:textId="77777777"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14:paraId="74D37A6C" w14:textId="77777777"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14:paraId="700C804F" w14:textId="77777777" w:rsidR="002209A5" w:rsidRPr="0081279C" w:rsidRDefault="002209A5" w:rsidP="002209A5">
      <w:pPr>
        <w:tabs>
          <w:tab w:val="left" w:pos="5940"/>
        </w:tabs>
        <w:rPr>
          <w:szCs w:val="22"/>
        </w:rPr>
      </w:pPr>
    </w:p>
    <w:p w14:paraId="2AA3594D" w14:textId="77777777" w:rsidR="002209A5" w:rsidRPr="0081279C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2"/>
          <w:szCs w:val="22"/>
          <w:lang w:val="cs-CZ"/>
        </w:rPr>
      </w:pPr>
      <w:r w:rsidRPr="0081279C">
        <w:rPr>
          <w:rFonts w:ascii="Times New Roman" w:hAnsi="Times New Roman"/>
          <w:sz w:val="22"/>
          <w:szCs w:val="22"/>
          <w:lang w:val="cs-CZ"/>
        </w:rPr>
        <w:t>……….…………………..</w:t>
      </w:r>
    </w:p>
    <w:p w14:paraId="78ED8DD3" w14:textId="77777777" w:rsidR="005E67CA" w:rsidRPr="0081279C" w:rsidRDefault="005E67CA" w:rsidP="005E67CA">
      <w:pPr>
        <w:tabs>
          <w:tab w:val="left" w:pos="5387"/>
        </w:tabs>
        <w:spacing w:after="0"/>
        <w:rPr>
          <w:i/>
          <w:iCs/>
          <w:szCs w:val="22"/>
        </w:rPr>
      </w:pPr>
      <w:r w:rsidRPr="0081279C">
        <w:rPr>
          <w:i/>
          <w:iCs/>
          <w:szCs w:val="22"/>
        </w:rPr>
        <w:t>jméno a funkce oprávněného zástupce uchazeče</w:t>
      </w:r>
    </w:p>
    <w:p w14:paraId="4C66D8B7" w14:textId="77777777" w:rsidR="005E67CA" w:rsidRPr="0081279C" w:rsidRDefault="005E67CA" w:rsidP="005E67CA">
      <w:pPr>
        <w:widowControl w:val="0"/>
        <w:ind w:right="21"/>
        <w:rPr>
          <w:szCs w:val="22"/>
        </w:rPr>
      </w:pPr>
      <w:r w:rsidRPr="0081279C">
        <w:rPr>
          <w:i/>
          <w:color w:val="00B0F0"/>
          <w:szCs w:val="22"/>
        </w:rPr>
        <w:t>(Pozn.: Doplní auditor, poté poznámku vymaže.)</w:t>
      </w:r>
    </w:p>
    <w:p w14:paraId="1377D67E" w14:textId="77777777" w:rsidR="0072534E" w:rsidRPr="0081279C" w:rsidRDefault="0072534E" w:rsidP="002209A5">
      <w:pPr>
        <w:tabs>
          <w:tab w:val="left" w:pos="5387"/>
        </w:tabs>
        <w:spacing w:after="0"/>
        <w:rPr>
          <w:i/>
          <w:iCs/>
          <w:szCs w:val="22"/>
        </w:rPr>
      </w:pPr>
    </w:p>
    <w:sectPr w:rsidR="0072534E" w:rsidRPr="0081279C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6A3A9" w14:textId="77777777" w:rsidR="00794E0E" w:rsidRDefault="00794E0E" w:rsidP="00360830">
      <w:r>
        <w:separator/>
      </w:r>
    </w:p>
  </w:endnote>
  <w:endnote w:type="continuationSeparator" w:id="0">
    <w:p w14:paraId="21093838" w14:textId="77777777" w:rsidR="00794E0E" w:rsidRDefault="00794E0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84FA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EBC359A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FDC38" w14:textId="77777777" w:rsidR="00794E0E" w:rsidRDefault="00794E0E" w:rsidP="00360830">
      <w:r>
        <w:separator/>
      </w:r>
    </w:p>
  </w:footnote>
  <w:footnote w:type="continuationSeparator" w:id="0">
    <w:p w14:paraId="7B13CAC5" w14:textId="77777777" w:rsidR="00794E0E" w:rsidRDefault="00794E0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6EF2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D261BC" wp14:editId="72FC247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168A" w14:textId="77777777" w:rsidR="001960F7" w:rsidRDefault="001960F7" w:rsidP="00835590">
    <w:pPr>
      <w:pStyle w:val="Zhlav"/>
      <w:spacing w:before="120"/>
    </w:pPr>
  </w:p>
  <w:p w14:paraId="21DEA226" w14:textId="77777777" w:rsidR="001960F7" w:rsidRDefault="001960F7" w:rsidP="00835590">
    <w:pPr>
      <w:pStyle w:val="Zhlav"/>
      <w:spacing w:before="120"/>
    </w:pPr>
  </w:p>
  <w:p w14:paraId="74FF4280" w14:textId="77777777" w:rsidR="001960F7" w:rsidRDefault="001960F7" w:rsidP="00835590">
    <w:pPr>
      <w:pStyle w:val="Zhlav"/>
      <w:spacing w:before="120"/>
    </w:pPr>
  </w:p>
  <w:p w14:paraId="7FA71943" w14:textId="77777777" w:rsidR="001960F7" w:rsidRDefault="001960F7" w:rsidP="00835590">
    <w:pPr>
      <w:pStyle w:val="Zhlav"/>
      <w:spacing w:before="120"/>
    </w:pPr>
  </w:p>
  <w:p w14:paraId="48812DC7" w14:textId="77777777" w:rsidR="00C162A1" w:rsidRPr="001960F7" w:rsidRDefault="001960F7" w:rsidP="00CD0FE7">
    <w:pPr>
      <w:pStyle w:val="Zhlav"/>
      <w:jc w:val="left"/>
      <w:rPr>
        <w:sz w:val="20"/>
        <w:szCs w:val="20"/>
      </w:rPr>
    </w:pP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E10BC48" wp14:editId="7313ED2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E7DA039" wp14:editId="1478873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140EA"/>
    <w:rsid w:val="00020CCD"/>
    <w:rsid w:val="00052D2D"/>
    <w:rsid w:val="0007345D"/>
    <w:rsid w:val="00094C52"/>
    <w:rsid w:val="000A59BF"/>
    <w:rsid w:val="000B26FB"/>
    <w:rsid w:val="000C4E61"/>
    <w:rsid w:val="000C5B9D"/>
    <w:rsid w:val="00110139"/>
    <w:rsid w:val="00133623"/>
    <w:rsid w:val="00143EA1"/>
    <w:rsid w:val="00145A19"/>
    <w:rsid w:val="0015027F"/>
    <w:rsid w:val="001526C2"/>
    <w:rsid w:val="0019096E"/>
    <w:rsid w:val="001960F7"/>
    <w:rsid w:val="001B3CDB"/>
    <w:rsid w:val="001B7338"/>
    <w:rsid w:val="001E4DD0"/>
    <w:rsid w:val="00201292"/>
    <w:rsid w:val="002114C2"/>
    <w:rsid w:val="00216075"/>
    <w:rsid w:val="002209A5"/>
    <w:rsid w:val="0022495B"/>
    <w:rsid w:val="00230E86"/>
    <w:rsid w:val="00254492"/>
    <w:rsid w:val="002545F9"/>
    <w:rsid w:val="00255BFD"/>
    <w:rsid w:val="00276D8B"/>
    <w:rsid w:val="00290EA9"/>
    <w:rsid w:val="0029663E"/>
    <w:rsid w:val="002A1E34"/>
    <w:rsid w:val="002B73A0"/>
    <w:rsid w:val="002C08F2"/>
    <w:rsid w:val="002C5843"/>
    <w:rsid w:val="002F4AF1"/>
    <w:rsid w:val="003008B5"/>
    <w:rsid w:val="003078A2"/>
    <w:rsid w:val="0033569D"/>
    <w:rsid w:val="00341E02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25C23"/>
    <w:rsid w:val="005306E0"/>
    <w:rsid w:val="00531695"/>
    <w:rsid w:val="00537F55"/>
    <w:rsid w:val="00544B57"/>
    <w:rsid w:val="00555AAB"/>
    <w:rsid w:val="00556F29"/>
    <w:rsid w:val="005738FC"/>
    <w:rsid w:val="00597D99"/>
    <w:rsid w:val="005A5FEA"/>
    <w:rsid w:val="005B1387"/>
    <w:rsid w:val="005E67CA"/>
    <w:rsid w:val="005F709A"/>
    <w:rsid w:val="00614136"/>
    <w:rsid w:val="0061436B"/>
    <w:rsid w:val="006207E2"/>
    <w:rsid w:val="00620D20"/>
    <w:rsid w:val="00626E50"/>
    <w:rsid w:val="00644EA3"/>
    <w:rsid w:val="00645263"/>
    <w:rsid w:val="006452FA"/>
    <w:rsid w:val="0065709A"/>
    <w:rsid w:val="006732BA"/>
    <w:rsid w:val="0068199D"/>
    <w:rsid w:val="00695E4E"/>
    <w:rsid w:val="006A0A8C"/>
    <w:rsid w:val="006A4F79"/>
    <w:rsid w:val="006C313B"/>
    <w:rsid w:val="0072534E"/>
    <w:rsid w:val="007264EF"/>
    <w:rsid w:val="007353F9"/>
    <w:rsid w:val="007413C6"/>
    <w:rsid w:val="007417BF"/>
    <w:rsid w:val="007467FC"/>
    <w:rsid w:val="00765E51"/>
    <w:rsid w:val="0076638C"/>
    <w:rsid w:val="00772CDC"/>
    <w:rsid w:val="00794E0E"/>
    <w:rsid w:val="007B131A"/>
    <w:rsid w:val="007D2F14"/>
    <w:rsid w:val="007E7DC1"/>
    <w:rsid w:val="007F576E"/>
    <w:rsid w:val="00802B34"/>
    <w:rsid w:val="00811B71"/>
    <w:rsid w:val="0081279C"/>
    <w:rsid w:val="008205C6"/>
    <w:rsid w:val="00832218"/>
    <w:rsid w:val="00834987"/>
    <w:rsid w:val="00835590"/>
    <w:rsid w:val="00845D37"/>
    <w:rsid w:val="008647A8"/>
    <w:rsid w:val="00870D7E"/>
    <w:rsid w:val="00871E0A"/>
    <w:rsid w:val="00874A25"/>
    <w:rsid w:val="008774FB"/>
    <w:rsid w:val="008806F4"/>
    <w:rsid w:val="008826DD"/>
    <w:rsid w:val="00882DC3"/>
    <w:rsid w:val="0089077D"/>
    <w:rsid w:val="008A5F2C"/>
    <w:rsid w:val="008B2BEF"/>
    <w:rsid w:val="008E2716"/>
    <w:rsid w:val="008E7EF5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45057"/>
    <w:rsid w:val="00A713E9"/>
    <w:rsid w:val="00A74C13"/>
    <w:rsid w:val="00A80526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4107B"/>
    <w:rsid w:val="00B522C5"/>
    <w:rsid w:val="00B56524"/>
    <w:rsid w:val="00B63507"/>
    <w:rsid w:val="00B90C7C"/>
    <w:rsid w:val="00B916A4"/>
    <w:rsid w:val="00BD06BD"/>
    <w:rsid w:val="00BD5B54"/>
    <w:rsid w:val="00C162A1"/>
    <w:rsid w:val="00C21181"/>
    <w:rsid w:val="00C37193"/>
    <w:rsid w:val="00C473FE"/>
    <w:rsid w:val="00C67764"/>
    <w:rsid w:val="00C80144"/>
    <w:rsid w:val="00CA1A2F"/>
    <w:rsid w:val="00CB5F7B"/>
    <w:rsid w:val="00CC5B17"/>
    <w:rsid w:val="00CC76EC"/>
    <w:rsid w:val="00CD0FE7"/>
    <w:rsid w:val="00CE6C4F"/>
    <w:rsid w:val="00CF20D8"/>
    <w:rsid w:val="00D00037"/>
    <w:rsid w:val="00D24B69"/>
    <w:rsid w:val="00D2629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112C1"/>
    <w:rsid w:val="00F234B1"/>
    <w:rsid w:val="00F31F96"/>
    <w:rsid w:val="00F44EC0"/>
    <w:rsid w:val="00F539F2"/>
    <w:rsid w:val="00F706EF"/>
    <w:rsid w:val="00F94B91"/>
    <w:rsid w:val="00F97F7F"/>
    <w:rsid w:val="00FA0E13"/>
    <w:rsid w:val="00FD1F74"/>
    <w:rsid w:val="00FF1ED6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AADEDD"/>
  <w15:docId w15:val="{D383B77F-AD24-4C3F-9A04-50944E8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E7EF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EF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E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7A8D-4ED0-46E1-9156-8F8B9CD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Deus Michal, Ing.</cp:lastModifiedBy>
  <cp:revision>6</cp:revision>
  <cp:lastPrinted>2011-01-11T13:57:00Z</cp:lastPrinted>
  <dcterms:created xsi:type="dcterms:W3CDTF">2022-06-15T10:08:00Z</dcterms:created>
  <dcterms:modified xsi:type="dcterms:W3CDTF">2022-09-19T10:22:00Z</dcterms:modified>
</cp:coreProperties>
</file>