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5362D951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237CFA5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0225B0E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7B005E17" w14:textId="77777777" w:rsidR="00E155F7" w:rsidRPr="00E155F7" w:rsidRDefault="00E155F7" w:rsidP="00E155F7">
      <w:pPr>
        <w:jc w:val="both"/>
        <w:rPr>
          <w:sz w:val="20"/>
        </w:rPr>
      </w:pPr>
    </w:p>
    <w:p w14:paraId="58267FD5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2. Silová </w:t>
      </w:r>
      <w:proofErr w:type="gramStart"/>
      <w:r w:rsidRPr="00E155F7">
        <w:rPr>
          <w:sz w:val="20"/>
          <w:u w:val="single"/>
        </w:rPr>
        <w:t>elektroinstalace - technické</w:t>
      </w:r>
      <w:proofErr w:type="gramEnd"/>
      <w:r w:rsidRPr="00E155F7">
        <w:rPr>
          <w:sz w:val="20"/>
          <w:u w:val="single"/>
        </w:rPr>
        <w:t xml:space="preserve"> údaje</w:t>
      </w:r>
    </w:p>
    <w:p w14:paraId="5802F94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0522E089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Ochrana před nebezpečným dotykem:</w:t>
      </w:r>
      <w:r w:rsidRPr="00E155F7">
        <w:rPr>
          <w:sz w:val="20"/>
        </w:rPr>
        <w:t xml:space="preserve"> samočinným odpojením vadné části od zdroje a izolací živých částí, ochranným pospojováním a proudovým chráničem pro zásuvkové obvody v koupelně </w:t>
      </w:r>
    </w:p>
    <w:p w14:paraId="260C87E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dle ČSN 3220-4-41 ed.2.</w:t>
      </w:r>
    </w:p>
    <w:p w14:paraId="49C6F2E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70623C8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Jištění proti zkratu a přetížení</w:t>
      </w:r>
      <w:r w:rsidRPr="00E155F7">
        <w:rPr>
          <w:sz w:val="20"/>
        </w:rPr>
        <w:t xml:space="preserve"> jističi v rozvaděčích HDS, RE, RB. </w:t>
      </w:r>
    </w:p>
    <w:p w14:paraId="03B9A785" w14:textId="77777777" w:rsidR="00E155F7" w:rsidRDefault="00E155F7" w:rsidP="00E155F7">
      <w:pPr>
        <w:jc w:val="both"/>
        <w:rPr>
          <w:b/>
        </w:rPr>
      </w:pPr>
    </w:p>
    <w:tbl>
      <w:tblPr>
        <w:tblW w:w="9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73"/>
      </w:tblGrid>
      <w:tr w:rsidR="00E155F7" w14:paraId="4E8F8D54" w14:textId="77777777" w:rsidTr="00F31F62">
        <w:tc>
          <w:tcPr>
            <w:tcW w:w="3331" w:type="dxa"/>
          </w:tcPr>
          <w:p w14:paraId="045C5916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rPr>
                <w:i/>
                <w:sz w:val="24"/>
              </w:rPr>
              <w:t>Zdroje elektrické energie: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73" w:type="dxa"/>
          </w:tcPr>
          <w:p w14:paraId="65D24435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t>Svorky přívodních napájecích kabelů pro rozvaděče RE,</w:t>
            </w:r>
            <w:r>
              <w:rPr>
                <w:sz w:val="24"/>
              </w:rPr>
              <w:t xml:space="preserve"> </w:t>
            </w:r>
          </w:p>
        </w:tc>
      </w:tr>
      <w:tr w:rsidR="00E155F7" w14:paraId="1E065057" w14:textId="77777777" w:rsidTr="00F31F62">
        <w:tc>
          <w:tcPr>
            <w:tcW w:w="3331" w:type="dxa"/>
            <w:tcBorders>
              <w:bottom w:val="nil"/>
            </w:tcBorders>
          </w:tcPr>
          <w:p w14:paraId="742DB4D1" w14:textId="77777777" w:rsidR="00E155F7" w:rsidRDefault="00E155F7" w:rsidP="00F31F62">
            <w:pPr>
              <w:pStyle w:val="TechUdaje"/>
              <w:ind w:left="0"/>
            </w:pPr>
            <w:r>
              <w:rPr>
                <w:i/>
              </w:rPr>
              <w:t>Rozvodné soustavy:</w:t>
            </w:r>
            <w:r>
              <w:t xml:space="preserve"> </w:t>
            </w:r>
          </w:p>
        </w:tc>
        <w:tc>
          <w:tcPr>
            <w:tcW w:w="5873" w:type="dxa"/>
          </w:tcPr>
          <w:p w14:paraId="187EA5F2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3PEN, AC, 50Hz, 400/230V, TN-</w:t>
            </w:r>
            <w:proofErr w:type="gramStart"/>
            <w:r>
              <w:rPr>
                <w:b/>
              </w:rPr>
              <w:t>C</w:t>
            </w:r>
            <w:r>
              <w:t xml:space="preserve">  (</w:t>
            </w:r>
            <w:proofErr w:type="gramEnd"/>
            <w:r>
              <w:t>přívod z HDS)</w:t>
            </w:r>
          </w:p>
          <w:p w14:paraId="4DB0FDAB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TN-C-</w:t>
            </w:r>
            <w:proofErr w:type="gramStart"/>
            <w:r>
              <w:rPr>
                <w:b/>
              </w:rPr>
              <w:t>S</w:t>
            </w:r>
            <w:r>
              <w:t xml:space="preserve">  (</w:t>
            </w:r>
            <w:proofErr w:type="gramEnd"/>
            <w:r>
              <w:t>uzel rozdělení RE)</w:t>
            </w:r>
          </w:p>
          <w:p w14:paraId="1A007146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</w:t>
            </w:r>
            <w:proofErr w:type="gramStart"/>
            <w:r>
              <w:rPr>
                <w:b/>
              </w:rPr>
              <w:t>S</w:t>
            </w:r>
            <w:r>
              <w:t xml:space="preserve">  (</w:t>
            </w:r>
            <w:proofErr w:type="gramEnd"/>
            <w:r>
              <w:t xml:space="preserve">instalační vývody z R) </w:t>
            </w:r>
          </w:p>
        </w:tc>
      </w:tr>
      <w:tr w:rsidR="00E155F7" w14:paraId="5E36C316" w14:textId="77777777" w:rsidTr="00F31F62">
        <w:tc>
          <w:tcPr>
            <w:tcW w:w="3331" w:type="dxa"/>
            <w:tcBorders>
              <w:bottom w:val="nil"/>
            </w:tcBorders>
          </w:tcPr>
          <w:p w14:paraId="7344DF2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Rozdělovací uzly soustav:</w:t>
            </w:r>
          </w:p>
        </w:tc>
        <w:tc>
          <w:tcPr>
            <w:tcW w:w="5873" w:type="dxa"/>
          </w:tcPr>
          <w:p w14:paraId="34313122" w14:textId="77777777" w:rsidR="00E155F7" w:rsidRDefault="00E155F7" w:rsidP="00F31F62">
            <w:pPr>
              <w:pStyle w:val="TechUdaje"/>
              <w:ind w:left="0"/>
            </w:pPr>
            <w:r>
              <w:t xml:space="preserve">Hlavní </w:t>
            </w:r>
            <w:proofErr w:type="gramStart"/>
            <w:r>
              <w:t>rozváděč  RE</w:t>
            </w:r>
            <w:proofErr w:type="gramEnd"/>
          </w:p>
        </w:tc>
      </w:tr>
      <w:tr w:rsidR="00E155F7" w14:paraId="7F808A2C" w14:textId="77777777" w:rsidTr="00F31F62">
        <w:tc>
          <w:tcPr>
            <w:tcW w:w="3331" w:type="dxa"/>
          </w:tcPr>
          <w:p w14:paraId="75E705BF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za normálního provozu:</w:t>
            </w:r>
          </w:p>
        </w:tc>
        <w:tc>
          <w:tcPr>
            <w:tcW w:w="5873" w:type="dxa"/>
          </w:tcPr>
          <w:p w14:paraId="3AD459A9" w14:textId="77777777" w:rsidR="00E155F7" w:rsidRDefault="00E155F7" w:rsidP="00F31F62">
            <w:pPr>
              <w:pStyle w:val="TechUdaje"/>
              <w:ind w:left="0"/>
            </w:pPr>
            <w:r>
              <w:t>Krytím, izolací, ve smyslu ČSN 33-2000-4-41 ed.2</w:t>
            </w:r>
          </w:p>
        </w:tc>
      </w:tr>
      <w:tr w:rsidR="00E155F7" w14:paraId="3E7BDC44" w14:textId="77777777" w:rsidTr="00F31F62">
        <w:tc>
          <w:tcPr>
            <w:tcW w:w="3331" w:type="dxa"/>
          </w:tcPr>
          <w:p w14:paraId="0141BBC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v případě poruchy:</w:t>
            </w:r>
          </w:p>
        </w:tc>
        <w:tc>
          <w:tcPr>
            <w:tcW w:w="5873" w:type="dxa"/>
          </w:tcPr>
          <w:p w14:paraId="51CCF265" w14:textId="77777777" w:rsidR="00E155F7" w:rsidRDefault="00E155F7" w:rsidP="00F31F62">
            <w:pPr>
              <w:pStyle w:val="TechUdaje"/>
              <w:ind w:left="0"/>
            </w:pPr>
            <w:r>
              <w:t>Samočinným odpojením od zdroje nadproudovými jistícími prvky a proudovým chráničem ve smyslu ČSN 33-2000-4-41 e.2</w:t>
            </w:r>
          </w:p>
        </w:tc>
      </w:tr>
      <w:tr w:rsidR="00E155F7" w14:paraId="610959BF" w14:textId="77777777" w:rsidTr="00F31F62">
        <w:tc>
          <w:tcPr>
            <w:tcW w:w="3331" w:type="dxa"/>
          </w:tcPr>
          <w:p w14:paraId="30BDFE4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 xml:space="preserve">Měření spotřeby </w:t>
            </w:r>
            <w:proofErr w:type="gramStart"/>
            <w:r>
              <w:rPr>
                <w:i/>
              </w:rPr>
              <w:t>elektrické  energie</w:t>
            </w:r>
            <w:proofErr w:type="gramEnd"/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03D016D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V </w:t>
            </w:r>
            <w:proofErr w:type="gramStart"/>
            <w:r>
              <w:t>RE  na</w:t>
            </w:r>
            <w:proofErr w:type="gramEnd"/>
            <w:r>
              <w:t xml:space="preserve"> straně NN</w:t>
            </w:r>
          </w:p>
        </w:tc>
      </w:tr>
      <w:tr w:rsidR="00E155F7" w14:paraId="7CE6330C" w14:textId="77777777" w:rsidTr="00F31F62">
        <w:tc>
          <w:tcPr>
            <w:tcW w:w="3331" w:type="dxa"/>
          </w:tcPr>
          <w:p w14:paraId="3EC4E93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Stupeň dodávky el. energie:</w:t>
            </w:r>
          </w:p>
        </w:tc>
        <w:tc>
          <w:tcPr>
            <w:tcW w:w="5873" w:type="dxa"/>
          </w:tcPr>
          <w:p w14:paraId="23332A30" w14:textId="77777777" w:rsidR="00E155F7" w:rsidRDefault="00E155F7" w:rsidP="00F31F62">
            <w:pPr>
              <w:pStyle w:val="TechUdaje"/>
              <w:ind w:left="0"/>
              <w:jc w:val="both"/>
              <w:rPr>
                <w:sz w:val="17"/>
              </w:rPr>
            </w:pPr>
            <w:r>
              <w:rPr>
                <w:b/>
                <w:bCs/>
                <w:sz w:val="24"/>
              </w:rPr>
              <w:t>č.3</w:t>
            </w:r>
            <w:r>
              <w:rPr>
                <w:sz w:val="17"/>
              </w:rPr>
              <w:t xml:space="preserve"> </w:t>
            </w:r>
            <w:r>
              <w:t xml:space="preserve">pro instalační rozvody v bytech a spol. prostorách, </w:t>
            </w:r>
            <w:r>
              <w:rPr>
                <w:b/>
                <w:bCs/>
                <w:sz w:val="24"/>
              </w:rPr>
              <w:t xml:space="preserve">č.1 </w:t>
            </w:r>
            <w:r>
              <w:t xml:space="preserve">pro nouzové osvětlení </w:t>
            </w:r>
          </w:p>
        </w:tc>
      </w:tr>
      <w:tr w:rsidR="00E155F7" w14:paraId="363B8F05" w14:textId="77777777" w:rsidTr="00F31F62">
        <w:tc>
          <w:tcPr>
            <w:tcW w:w="3331" w:type="dxa"/>
          </w:tcPr>
          <w:p w14:paraId="26415BBB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Kompenzace účiníku cos</w:t>
            </w:r>
            <w:r>
              <w:rPr>
                <w:i/>
              </w:rPr>
              <w:sym w:font="Symbol" w:char="F06A"/>
            </w:r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3468DEE4" w14:textId="77777777" w:rsidR="00E155F7" w:rsidRDefault="00E155F7" w:rsidP="00F31F62">
            <w:pPr>
              <w:pStyle w:val="TechUdaje"/>
              <w:ind w:left="0"/>
              <w:jc w:val="both"/>
            </w:pPr>
            <w:proofErr w:type="spellStart"/>
            <w:r>
              <w:t>Individuelně</w:t>
            </w:r>
            <w:proofErr w:type="spellEnd"/>
            <w:r>
              <w:t xml:space="preserve"> kompenzovaná svítidla, centrální rozvodně</w:t>
            </w:r>
          </w:p>
        </w:tc>
      </w:tr>
      <w:tr w:rsidR="00E155F7" w14:paraId="709E8E1E" w14:textId="77777777" w:rsidTr="00F31F62">
        <w:tc>
          <w:tcPr>
            <w:tcW w:w="3331" w:type="dxa"/>
            <w:tcBorders>
              <w:bottom w:val="nil"/>
            </w:tcBorders>
          </w:tcPr>
          <w:p w14:paraId="25EA838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Filtrace vyšších harmonických:</w:t>
            </w:r>
          </w:p>
        </w:tc>
        <w:tc>
          <w:tcPr>
            <w:tcW w:w="5873" w:type="dxa"/>
          </w:tcPr>
          <w:p w14:paraId="30C42A7B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Neřeší tato PD (předpokládají se kompatibilní </w:t>
            </w:r>
            <w:proofErr w:type="gramStart"/>
            <w:r>
              <w:t>spotřebiče )</w:t>
            </w:r>
            <w:proofErr w:type="gramEnd"/>
            <w:r>
              <w:t xml:space="preserve"> </w:t>
            </w:r>
          </w:p>
        </w:tc>
      </w:tr>
      <w:tr w:rsidR="00E155F7" w14:paraId="784569B0" w14:textId="77777777" w:rsidTr="00F31F62">
        <w:tc>
          <w:tcPr>
            <w:tcW w:w="3331" w:type="dxa"/>
            <w:tcBorders>
              <w:bottom w:val="nil"/>
            </w:tcBorders>
          </w:tcPr>
          <w:p w14:paraId="0DBF0226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Osvětlenost:</w:t>
            </w:r>
          </w:p>
        </w:tc>
        <w:tc>
          <w:tcPr>
            <w:tcW w:w="5873" w:type="dxa"/>
          </w:tcPr>
          <w:p w14:paraId="73C218FC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Hygienická minima ve smyslu </w:t>
            </w:r>
            <w:r>
              <w:rPr>
                <w:b/>
                <w:bCs/>
              </w:rPr>
              <w:t>ČSN EN 12464-1</w:t>
            </w:r>
          </w:p>
        </w:tc>
      </w:tr>
      <w:tr w:rsidR="00E155F7" w14:paraId="392ED923" w14:textId="77777777" w:rsidTr="00F31F62">
        <w:trPr>
          <w:cantSplit/>
        </w:trPr>
        <w:tc>
          <w:tcPr>
            <w:tcW w:w="3331" w:type="dxa"/>
            <w:tcBorders>
              <w:top w:val="single" w:sz="4" w:space="0" w:color="auto"/>
            </w:tcBorders>
          </w:tcPr>
          <w:p w14:paraId="19F485BE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Vnější vlivy:</w:t>
            </w:r>
          </w:p>
        </w:tc>
        <w:tc>
          <w:tcPr>
            <w:tcW w:w="5873" w:type="dxa"/>
          </w:tcPr>
          <w:p w14:paraId="54BB86C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viz. protokol</w:t>
            </w:r>
          </w:p>
        </w:tc>
      </w:tr>
    </w:tbl>
    <w:p w14:paraId="554CE0D1" w14:textId="77777777" w:rsidR="00E155F7" w:rsidRDefault="00E155F7" w:rsidP="00E155F7">
      <w:pPr>
        <w:pStyle w:val="text0"/>
        <w:tabs>
          <w:tab w:val="left" w:pos="3969"/>
        </w:tabs>
        <w:spacing w:after="0"/>
        <w:jc w:val="left"/>
      </w:pPr>
    </w:p>
    <w:p w14:paraId="0159883F" w14:textId="77777777" w:rsidR="00E155F7" w:rsidRDefault="00E155F7" w:rsidP="00E155F7">
      <w:pPr>
        <w:ind w:left="1"/>
        <w:jc w:val="both"/>
        <w:rPr>
          <w:b/>
          <w:sz w:val="20"/>
        </w:rPr>
      </w:pPr>
      <w:r>
        <w:rPr>
          <w:b/>
          <w:sz w:val="20"/>
        </w:rPr>
        <w:t>Celková energetická bilance:</w:t>
      </w:r>
    </w:p>
    <w:p w14:paraId="62CC95F4" w14:textId="7EBDC2C1" w:rsidR="00E155F7" w:rsidRDefault="00BC2E38" w:rsidP="00E155F7">
      <w:pPr>
        <w:jc w:val="both"/>
      </w:pPr>
      <w:r w:rsidRPr="00BC2E38">
        <w:drawing>
          <wp:inline distT="0" distB="0" distL="0" distR="0" wp14:anchorId="50E565F1" wp14:editId="0B84A3E6">
            <wp:extent cx="5695238" cy="1142857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CE7" w14:textId="77777777" w:rsidR="00E155F7" w:rsidRDefault="00E155F7" w:rsidP="00E155F7">
      <w:pPr>
        <w:jc w:val="both"/>
      </w:pPr>
    </w:p>
    <w:p w14:paraId="19A7685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3. Silnoproudá </w:t>
      </w:r>
      <w:proofErr w:type="gramStart"/>
      <w:r w:rsidRPr="00E155F7">
        <w:rPr>
          <w:sz w:val="20"/>
          <w:u w:val="single"/>
        </w:rPr>
        <w:t>elektroinstalace - popis</w:t>
      </w:r>
      <w:proofErr w:type="gramEnd"/>
      <w:r w:rsidRPr="00E155F7">
        <w:rPr>
          <w:sz w:val="20"/>
          <w:u w:val="single"/>
        </w:rPr>
        <w:t xml:space="preserve"> provedení</w:t>
      </w:r>
    </w:p>
    <w:p w14:paraId="465B8795" w14:textId="77777777" w:rsidR="00E155F7" w:rsidRPr="00E155F7" w:rsidRDefault="00E155F7" w:rsidP="00E155F7">
      <w:pPr>
        <w:ind w:left="1"/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Přípojka </w:t>
      </w:r>
      <w:proofErr w:type="spellStart"/>
      <w:r w:rsidRPr="00E155F7">
        <w:rPr>
          <w:sz w:val="20"/>
          <w:u w:val="single"/>
        </w:rPr>
        <w:t>nn</w:t>
      </w:r>
      <w:proofErr w:type="spellEnd"/>
      <w:r w:rsidRPr="00E155F7">
        <w:rPr>
          <w:sz w:val="20"/>
          <w:u w:val="single"/>
        </w:rPr>
        <w:t>:</w:t>
      </w:r>
    </w:p>
    <w:p w14:paraId="406D4A20" w14:textId="48A73F72" w:rsidR="00E155F7" w:rsidRPr="00E155F7" w:rsidRDefault="00E155F7" w:rsidP="00E155F7">
      <w:pPr>
        <w:pStyle w:val="text0"/>
        <w:rPr>
          <w:rFonts w:ascii="Arial" w:hAnsi="Arial"/>
          <w:sz w:val="20"/>
          <w:u w:val="single"/>
        </w:rPr>
      </w:pPr>
      <w:r w:rsidRPr="00E155F7">
        <w:rPr>
          <w:rFonts w:ascii="Arial" w:hAnsi="Arial"/>
          <w:color w:val="auto"/>
          <w:sz w:val="20"/>
        </w:rPr>
        <w:t xml:space="preserve">Objekt </w:t>
      </w:r>
      <w:r w:rsidR="00770FDE">
        <w:rPr>
          <w:rFonts w:ascii="Arial" w:hAnsi="Arial"/>
          <w:color w:val="auto"/>
          <w:sz w:val="20"/>
        </w:rPr>
        <w:t>je</w:t>
      </w:r>
      <w:r w:rsidRPr="00E155F7">
        <w:rPr>
          <w:rFonts w:ascii="Arial" w:hAnsi="Arial"/>
          <w:color w:val="auto"/>
          <w:sz w:val="20"/>
        </w:rPr>
        <w:t xml:space="preserve"> napojen </w:t>
      </w:r>
      <w:proofErr w:type="spellStart"/>
      <w:r w:rsidR="00770FDE">
        <w:rPr>
          <w:rFonts w:ascii="Arial" w:hAnsi="Arial"/>
          <w:color w:val="auto"/>
          <w:sz w:val="20"/>
        </w:rPr>
        <w:t>stávajícm</w:t>
      </w:r>
      <w:proofErr w:type="spellEnd"/>
      <w:r w:rsidRPr="00E155F7">
        <w:rPr>
          <w:rFonts w:ascii="Arial" w:hAnsi="Arial"/>
          <w:color w:val="auto"/>
          <w:sz w:val="20"/>
        </w:rPr>
        <w:t xml:space="preserve"> zemním vedením</w:t>
      </w:r>
      <w:r w:rsidR="006C0F73">
        <w:rPr>
          <w:rFonts w:ascii="Arial" w:hAnsi="Arial"/>
          <w:color w:val="auto"/>
          <w:sz w:val="20"/>
        </w:rPr>
        <w:t xml:space="preserve"> ze skříně HDS </w:t>
      </w:r>
      <w:r w:rsidR="00770FDE">
        <w:rPr>
          <w:rFonts w:ascii="Arial" w:hAnsi="Arial"/>
          <w:color w:val="auto"/>
          <w:sz w:val="20"/>
        </w:rPr>
        <w:t>na fasádě u vchodu do objektu</w:t>
      </w:r>
      <w:r w:rsidR="006C0F73">
        <w:rPr>
          <w:rFonts w:ascii="Arial" w:hAnsi="Arial"/>
          <w:color w:val="auto"/>
          <w:sz w:val="20"/>
        </w:rPr>
        <w:t xml:space="preserve">. </w:t>
      </w:r>
      <w:r w:rsidR="00770FDE">
        <w:rPr>
          <w:rFonts w:ascii="Arial" w:hAnsi="Arial"/>
          <w:color w:val="auto"/>
          <w:sz w:val="20"/>
        </w:rPr>
        <w:t>Nově s </w:t>
      </w:r>
      <w:proofErr w:type="spellStart"/>
      <w:r w:rsidR="00770FDE">
        <w:rPr>
          <w:rFonts w:ascii="Arial" w:hAnsi="Arial"/>
          <w:color w:val="auto"/>
          <w:sz w:val="20"/>
        </w:rPr>
        <w:t>eprovede</w:t>
      </w:r>
      <w:proofErr w:type="spellEnd"/>
      <w:r w:rsidR="00770FDE">
        <w:rPr>
          <w:rFonts w:ascii="Arial" w:hAnsi="Arial"/>
          <w:color w:val="auto"/>
          <w:sz w:val="20"/>
        </w:rPr>
        <w:t xml:space="preserve"> vedení </w:t>
      </w:r>
      <w:proofErr w:type="gramStart"/>
      <w:r w:rsidR="00770FDE">
        <w:rPr>
          <w:rFonts w:ascii="Arial" w:hAnsi="Arial"/>
          <w:color w:val="auto"/>
          <w:sz w:val="20"/>
        </w:rPr>
        <w:t>HDS - RE</w:t>
      </w:r>
      <w:proofErr w:type="gramEnd"/>
      <w:r w:rsidR="006C0F73">
        <w:rPr>
          <w:rFonts w:ascii="Arial" w:hAnsi="Arial"/>
          <w:color w:val="auto"/>
          <w:sz w:val="20"/>
        </w:rPr>
        <w:t xml:space="preserve"> kabelem CYKY 4x25 </w:t>
      </w:r>
      <w:r w:rsidR="00770FDE">
        <w:rPr>
          <w:rFonts w:ascii="Arial" w:hAnsi="Arial"/>
          <w:color w:val="auto"/>
          <w:sz w:val="20"/>
        </w:rPr>
        <w:t>pod omítkou</w:t>
      </w:r>
      <w:r w:rsidR="006C0F73">
        <w:rPr>
          <w:rFonts w:ascii="Arial" w:hAnsi="Arial"/>
          <w:color w:val="auto"/>
          <w:sz w:val="20"/>
        </w:rPr>
        <w:t>.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>Nový kabel</w:t>
      </w:r>
      <w:r w:rsidR="006C0F73">
        <w:rPr>
          <w:rFonts w:ascii="Arial" w:hAnsi="Arial"/>
          <w:color w:val="auto"/>
          <w:sz w:val="20"/>
        </w:rPr>
        <w:t xml:space="preserve"> bude ukončen v elektroměrovém rozvaděči v chodbě v 1.np</w:t>
      </w:r>
      <w:r w:rsidR="00770FDE">
        <w:rPr>
          <w:rFonts w:ascii="Arial" w:hAnsi="Arial"/>
          <w:color w:val="auto"/>
          <w:sz w:val="20"/>
        </w:rPr>
        <w:t>.</w:t>
      </w:r>
    </w:p>
    <w:p w14:paraId="3BC19627" w14:textId="779CC2A1" w:rsidR="000D579C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Rozvaděč RE</w:t>
      </w:r>
      <w:r w:rsidRPr="00E155F7">
        <w:rPr>
          <w:sz w:val="20"/>
        </w:rPr>
        <w:t xml:space="preserve"> je oceloplechový s jističi před elektroměry a elektroměry. Projektované jističe před elektroměrem jsou hodnoty </w:t>
      </w:r>
      <w:proofErr w:type="gramStart"/>
      <w:r w:rsidRPr="00E155F7">
        <w:rPr>
          <w:sz w:val="20"/>
        </w:rPr>
        <w:t>2</w:t>
      </w:r>
      <w:r w:rsidR="007D2227">
        <w:rPr>
          <w:sz w:val="20"/>
        </w:rPr>
        <w:t>5</w:t>
      </w:r>
      <w:r w:rsidRPr="00E155F7">
        <w:rPr>
          <w:sz w:val="20"/>
        </w:rPr>
        <w:t>A</w:t>
      </w:r>
      <w:proofErr w:type="gramEnd"/>
      <w:r w:rsidRPr="00E155F7">
        <w:rPr>
          <w:sz w:val="20"/>
        </w:rPr>
        <w:t xml:space="preserve">/3 pro byty (dvoufázová elektrická varná deska), </w:t>
      </w:r>
      <w:r w:rsidR="00CD3110">
        <w:rPr>
          <w:sz w:val="20"/>
        </w:rPr>
        <w:t>2</w:t>
      </w:r>
      <w:r w:rsidR="00770FDE">
        <w:rPr>
          <w:sz w:val="20"/>
        </w:rPr>
        <w:t>5</w:t>
      </w:r>
      <w:r w:rsidRPr="00E155F7">
        <w:rPr>
          <w:sz w:val="20"/>
        </w:rPr>
        <w:t>A/</w:t>
      </w:r>
      <w:r w:rsidR="00FE3397">
        <w:rPr>
          <w:sz w:val="20"/>
        </w:rPr>
        <w:t>1</w:t>
      </w:r>
      <w:r w:rsidRPr="00E155F7">
        <w:rPr>
          <w:sz w:val="20"/>
        </w:rPr>
        <w:t xml:space="preserve"> společná spotřeba</w:t>
      </w:r>
      <w:r w:rsidR="00CD3110">
        <w:rPr>
          <w:sz w:val="20"/>
        </w:rPr>
        <w:t>.</w:t>
      </w:r>
      <w:r w:rsidR="007D2227">
        <w:rPr>
          <w:sz w:val="20"/>
        </w:rPr>
        <w:t xml:space="preserve"> </w:t>
      </w:r>
    </w:p>
    <w:p w14:paraId="0CAA188F" w14:textId="77777777" w:rsidR="0058161C" w:rsidRDefault="0058161C" w:rsidP="00E155F7">
      <w:pPr>
        <w:jc w:val="both"/>
        <w:rPr>
          <w:sz w:val="20"/>
        </w:rPr>
      </w:pPr>
    </w:p>
    <w:p w14:paraId="747CD6E0" w14:textId="7BEDCB4E" w:rsidR="00CD3110" w:rsidRPr="0058161C" w:rsidRDefault="00CD3110" w:rsidP="00CD3110">
      <w:pPr>
        <w:jc w:val="both"/>
        <w:rPr>
          <w:sz w:val="20"/>
        </w:rPr>
      </w:pPr>
      <w:r w:rsidRPr="0058161C">
        <w:rPr>
          <w:sz w:val="20"/>
          <w:u w:val="single"/>
        </w:rPr>
        <w:t>Rozvaděč RS</w:t>
      </w:r>
      <w:r w:rsidRPr="0058161C">
        <w:rPr>
          <w:sz w:val="20"/>
        </w:rPr>
        <w:t xml:space="preserve"> je </w:t>
      </w:r>
      <w:r w:rsidR="00770FDE">
        <w:rPr>
          <w:sz w:val="20"/>
        </w:rPr>
        <w:t>plastový pod omítku</w:t>
      </w:r>
      <w:r w:rsidRPr="0058161C">
        <w:rPr>
          <w:sz w:val="20"/>
        </w:rPr>
        <w:t xml:space="preserve">, slouží pro napájení zařízení ve společných </w:t>
      </w:r>
      <w:proofErr w:type="gramStart"/>
      <w:r w:rsidRPr="0058161C">
        <w:rPr>
          <w:sz w:val="20"/>
        </w:rPr>
        <w:t>prostorách  (</w:t>
      </w:r>
      <w:proofErr w:type="gramEnd"/>
      <w:r w:rsidRPr="0058161C">
        <w:rPr>
          <w:sz w:val="20"/>
        </w:rPr>
        <w:t xml:space="preserve">osvětlení, zásuvky, slaboproudé zařízení). </w:t>
      </w:r>
    </w:p>
    <w:p w14:paraId="744C40AA" w14:textId="77777777" w:rsidR="00CD3110" w:rsidRPr="0058161C" w:rsidRDefault="00CD3110" w:rsidP="00E155F7">
      <w:pPr>
        <w:jc w:val="both"/>
        <w:rPr>
          <w:sz w:val="20"/>
        </w:rPr>
      </w:pPr>
    </w:p>
    <w:p w14:paraId="2C59AC2D" w14:textId="77777777" w:rsidR="00CD3110" w:rsidRPr="0058161C" w:rsidRDefault="00CD3110" w:rsidP="00CD3110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 xml:space="preserve">Podružné domovní vedení RE – RB. </w:t>
      </w:r>
    </w:p>
    <w:p w14:paraId="072EFBEA" w14:textId="77777777" w:rsidR="00F83AA0" w:rsidRPr="0058161C" w:rsidRDefault="00CD3110" w:rsidP="00CD3110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</w:t>
      </w:r>
      <w:proofErr w:type="gramStart"/>
      <w:r w:rsidRPr="0058161C">
        <w:rPr>
          <w:sz w:val="20"/>
        </w:rPr>
        <w:t>5C</w:t>
      </w:r>
      <w:proofErr w:type="gramEnd"/>
      <w:r w:rsidRPr="0058161C">
        <w:rPr>
          <w:sz w:val="20"/>
        </w:rPr>
        <w:t xml:space="preserve"> x 6 (plný počet fází s ohledem na desky v bytě). Rozvodnice RE bude místem přechodu soustavy </w:t>
      </w:r>
      <w:proofErr w:type="gramStart"/>
      <w:r w:rsidRPr="0058161C">
        <w:rPr>
          <w:sz w:val="20"/>
        </w:rPr>
        <w:t>TN - C</w:t>
      </w:r>
      <w:proofErr w:type="gramEnd"/>
      <w:r w:rsidRPr="0058161C">
        <w:rPr>
          <w:sz w:val="20"/>
        </w:rPr>
        <w:t xml:space="preserve"> na soustavu TN </w:t>
      </w:r>
      <w:r w:rsidR="001329B9">
        <w:rPr>
          <w:sz w:val="20"/>
        </w:rPr>
        <w:t>–</w:t>
      </w:r>
      <w:r w:rsidRPr="0058161C">
        <w:rPr>
          <w:sz w:val="20"/>
        </w:rPr>
        <w:t xml:space="preserve"> S</w:t>
      </w:r>
      <w:r w:rsidR="001329B9">
        <w:rPr>
          <w:sz w:val="20"/>
        </w:rPr>
        <w:t>.</w:t>
      </w:r>
    </w:p>
    <w:p w14:paraId="3082F103" w14:textId="77777777" w:rsidR="001329B9" w:rsidRDefault="001329B9" w:rsidP="001329B9">
      <w:pPr>
        <w:jc w:val="both"/>
        <w:rPr>
          <w:sz w:val="20"/>
          <w:u w:val="single"/>
        </w:rPr>
      </w:pPr>
      <w:bookmarkStart w:id="0" w:name="_Toc156266818"/>
    </w:p>
    <w:p w14:paraId="2A64D1FD" w14:textId="6C9D77DA" w:rsidR="001329B9" w:rsidRPr="0058161C" w:rsidRDefault="001329B9" w:rsidP="001329B9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>Podružné domovní vedení RE – R</w:t>
      </w:r>
      <w:r>
        <w:rPr>
          <w:sz w:val="20"/>
          <w:u w:val="single"/>
        </w:rPr>
        <w:t>S</w:t>
      </w:r>
      <w:r w:rsidRPr="0058161C">
        <w:rPr>
          <w:sz w:val="20"/>
          <w:u w:val="single"/>
        </w:rPr>
        <w:t xml:space="preserve">. </w:t>
      </w:r>
    </w:p>
    <w:p w14:paraId="78D89ED7" w14:textId="134DABE9" w:rsidR="001329B9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</w:t>
      </w:r>
      <w:proofErr w:type="gramStart"/>
      <w:r w:rsidRPr="0058161C">
        <w:rPr>
          <w:sz w:val="20"/>
        </w:rPr>
        <w:t>5C</w:t>
      </w:r>
      <w:proofErr w:type="gramEnd"/>
      <w:r w:rsidRPr="0058161C">
        <w:rPr>
          <w:sz w:val="20"/>
        </w:rPr>
        <w:t xml:space="preserve"> x </w:t>
      </w:r>
      <w:r w:rsidR="00770FDE">
        <w:rPr>
          <w:sz w:val="20"/>
        </w:rPr>
        <w:t>4</w:t>
      </w:r>
      <w:r>
        <w:rPr>
          <w:sz w:val="20"/>
        </w:rPr>
        <w:t>.</w:t>
      </w:r>
    </w:p>
    <w:p w14:paraId="29528655" w14:textId="77777777" w:rsidR="001329B9" w:rsidRPr="0058161C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 </w:t>
      </w:r>
    </w:p>
    <w:p w14:paraId="5DF837D4" w14:textId="25C8B388" w:rsidR="0058161C" w:rsidRDefault="0058161C" w:rsidP="00E155F7">
      <w:pPr>
        <w:rPr>
          <w:sz w:val="20"/>
          <w:u w:val="single"/>
        </w:rPr>
      </w:pPr>
    </w:p>
    <w:p w14:paraId="1F9C307D" w14:textId="77777777" w:rsidR="00770FDE" w:rsidRDefault="00770FDE" w:rsidP="00E155F7">
      <w:pPr>
        <w:rPr>
          <w:sz w:val="20"/>
          <w:u w:val="single"/>
        </w:rPr>
      </w:pPr>
    </w:p>
    <w:p w14:paraId="3B9895D7" w14:textId="5DD0B083" w:rsidR="00770FDE" w:rsidRDefault="00770FDE" w:rsidP="00E155F7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Demontáže</w:t>
      </w:r>
    </w:p>
    <w:p w14:paraId="2A106C2E" w14:textId="5312EB57" w:rsidR="00770FDE" w:rsidRDefault="00770FDE" w:rsidP="00E155F7">
      <w:pPr>
        <w:rPr>
          <w:sz w:val="20"/>
          <w:u w:val="single"/>
        </w:rPr>
      </w:pPr>
    </w:p>
    <w:p w14:paraId="26AA3F04" w14:textId="4599692E" w:rsidR="00770FDE" w:rsidRDefault="00770FDE" w:rsidP="00770FDE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Stávající elektroinstalace s kompletně demontuje včetně elektroměrového rozvaděče. Dále se demontuje hromosvodná soustava.</w:t>
      </w:r>
    </w:p>
    <w:p w14:paraId="1682AEC3" w14:textId="7D9AED90" w:rsidR="00E155F7" w:rsidRPr="00E155F7" w:rsidRDefault="00E155F7" w:rsidP="00E155F7">
      <w:pPr>
        <w:rPr>
          <w:sz w:val="20"/>
          <w:u w:val="single"/>
        </w:rPr>
      </w:pPr>
      <w:r w:rsidRPr="00E155F7">
        <w:rPr>
          <w:sz w:val="20"/>
          <w:u w:val="single"/>
        </w:rPr>
        <w:t>Popis elektroinstalace</w:t>
      </w:r>
      <w:bookmarkEnd w:id="0"/>
      <w:r w:rsidRPr="00E155F7">
        <w:rPr>
          <w:sz w:val="20"/>
          <w:u w:val="single"/>
        </w:rPr>
        <w:t xml:space="preserve"> </w:t>
      </w:r>
    </w:p>
    <w:p w14:paraId="2E773426" w14:textId="77777777" w:rsid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bookmarkStart w:id="1" w:name="_Toc113256969"/>
      <w:r w:rsidRPr="00E155F7">
        <w:rPr>
          <w:rFonts w:ascii="Arial" w:hAnsi="Arial"/>
          <w:color w:val="auto"/>
          <w:sz w:val="20"/>
        </w:rPr>
        <w:t>Elektroinstalace bude provedena dle ČSN 33 2130 Elektrotechnické předpisy. Vnitřní elektrické rozvody. Dle této ČSN budou také stanoveny minimální počty elektrických vývodů v jednotlivých prostorách obytného domu.</w:t>
      </w:r>
      <w:bookmarkEnd w:id="1"/>
    </w:p>
    <w:p w14:paraId="2E187052" w14:textId="77777777" w:rsidR="00CD3110" w:rsidRPr="00CD3110" w:rsidRDefault="00CD3110" w:rsidP="00CD3110">
      <w:pPr>
        <w:rPr>
          <w:sz w:val="20"/>
          <w:u w:val="single"/>
        </w:rPr>
      </w:pPr>
      <w:bookmarkStart w:id="2" w:name="_Toc156266819"/>
      <w:bookmarkStart w:id="3" w:name="_Toc156266823"/>
      <w:r w:rsidRPr="00CD3110">
        <w:rPr>
          <w:sz w:val="20"/>
          <w:u w:val="single"/>
        </w:rPr>
        <w:t>Elektroinstalace umělého osvětlení</w:t>
      </w:r>
      <w:bookmarkEnd w:id="2"/>
    </w:p>
    <w:p w14:paraId="7A99BD72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Navržený počet svítidel v jednotlivých místnostech odpovídá předepsanému osvětlení dle ČSN EN 12464-1. </w:t>
      </w:r>
    </w:p>
    <w:p w14:paraId="7705BF70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Osvětlení bude provedeno LED svítidly. Svítidla budou umístěna přímo na stropě, v podhledu a případně na stěně. Ve společných prostorech jsou navrženy konkrétní typy svítidel. V ostatních místnostech bytů jsou u stropu pouze vyvedeny vývody (pro kolaudaci osadit objímkou a žárovkou) - osvětlovací těleso bude dodáno nájemníkem. Rozvody budou provedeny vodiči CYKY. Vodiče budou uloženy pod omítkou, popř. v elektroinstalační liště. Ovládání osvětlení bude od vstupů do jednotlivých prostor. Na chodbách a schodištích bude osvětlení ovládáno časovými spínači s nastavitelným zpožděním vypnutí. Napojení osvětlení bytových jednotek bude provedeno z bytových rozvaděčů v jednotlivých bytech. Osvětlení chodeb a společných prostor bude napojeno z rozvaděčů RMS. Svítidla únikového osvětlení budou umísťována do míst určujících směr úniku. </w:t>
      </w:r>
    </w:p>
    <w:p w14:paraId="328E23C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Nouzové osvětlovací soustavy jsou navrženy v souladu s ČSN EN 12464-1 a vyhláškou č. 48/82 Sb. ČÚBP. Nouzové (únikové) osvětlení musí svítit nejpozději do </w:t>
      </w:r>
      <w:proofErr w:type="gramStart"/>
      <w:r w:rsidRPr="00CD3110">
        <w:rPr>
          <w:rFonts w:ascii="Arial" w:hAnsi="Arial"/>
          <w:color w:val="auto"/>
          <w:sz w:val="20"/>
        </w:rPr>
        <w:t>15s</w:t>
      </w:r>
      <w:proofErr w:type="gramEnd"/>
      <w:r w:rsidRPr="00CD3110">
        <w:rPr>
          <w:rFonts w:ascii="Arial" w:hAnsi="Arial"/>
          <w:color w:val="auto"/>
          <w:sz w:val="20"/>
        </w:rPr>
        <w:t xml:space="preserve"> od výpadku hlavní osvětlovací soustavy. Únikové východy jsou označeny svítidly s piktogramy. Svítidla nouzového osvětlení se osadí do výše 2,2m nad podlahou.</w:t>
      </w:r>
      <w:r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 xml:space="preserve">Vypínače ve společných prostorách umístit 1,2m nad podlahou. Vypínače v obytných místnostech umístit dle požadavku </w:t>
      </w:r>
      <w:proofErr w:type="gramStart"/>
      <w:r w:rsidRPr="00CD3110">
        <w:rPr>
          <w:rFonts w:ascii="Arial" w:hAnsi="Arial"/>
          <w:color w:val="auto"/>
          <w:sz w:val="20"/>
        </w:rPr>
        <w:t>architekta</w:t>
      </w:r>
      <w:proofErr w:type="gramEnd"/>
      <w:r w:rsidRPr="00CD3110">
        <w:rPr>
          <w:rFonts w:ascii="Arial" w:hAnsi="Arial"/>
          <w:color w:val="auto"/>
          <w:sz w:val="20"/>
        </w:rPr>
        <w:t xml:space="preserve"> popřípadě nájemníka.</w:t>
      </w:r>
    </w:p>
    <w:p w14:paraId="1200298C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Údržba nouzového osvětlení bude prováděna min 1x měsíčně a je nutno svítidla uvést do provozního stavu a </w:t>
      </w:r>
      <w:proofErr w:type="gramStart"/>
      <w:r>
        <w:rPr>
          <w:rFonts w:ascii="Arial" w:hAnsi="Arial"/>
          <w:color w:val="auto"/>
          <w:sz w:val="20"/>
        </w:rPr>
        <w:t>zkontrolovat</w:t>
      </w:r>
      <w:proofErr w:type="gramEnd"/>
      <w:r>
        <w:rPr>
          <w:rFonts w:ascii="Arial" w:hAnsi="Arial"/>
          <w:color w:val="auto"/>
          <w:sz w:val="20"/>
        </w:rPr>
        <w:t xml:space="preserve"> zda každé svítidlo je funkční. Kontrolovat stav UPS včetně akumulátorů. </w:t>
      </w:r>
    </w:p>
    <w:p w14:paraId="2B468A92" w14:textId="77777777" w:rsidR="00CD3110" w:rsidRPr="00CD3110" w:rsidRDefault="00CD3110" w:rsidP="00CD3110">
      <w:pPr>
        <w:rPr>
          <w:sz w:val="20"/>
          <w:u w:val="single"/>
        </w:rPr>
      </w:pPr>
      <w:bookmarkStart w:id="4" w:name="_Toc156266820"/>
      <w:r w:rsidRPr="00CD3110">
        <w:rPr>
          <w:sz w:val="20"/>
          <w:u w:val="single"/>
        </w:rPr>
        <w:t>Elektroinstalace zásuvkových rozvodů</w:t>
      </w:r>
      <w:bookmarkEnd w:id="4"/>
    </w:p>
    <w:p w14:paraId="4C3ECB0B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Zásuvková instalace bude provedena vodiči CYKY pod omítkou, v elektroinstalačních lištách, podle charakteru jednotlivých prostorů. Elektrorozvody v bytech a společných prostorách 1.np - 6.np, které jsou navrženy v místech železobetonových stěn budou zadrážkovány do </w:t>
      </w:r>
      <w:proofErr w:type="spellStart"/>
      <w:r w:rsidRPr="00CD3110">
        <w:rPr>
          <w:rFonts w:ascii="Arial" w:hAnsi="Arial"/>
          <w:color w:val="auto"/>
          <w:sz w:val="20"/>
        </w:rPr>
        <w:t>žlb</w:t>
      </w:r>
      <w:proofErr w:type="spellEnd"/>
      <w:r w:rsidRPr="00CD3110">
        <w:rPr>
          <w:rFonts w:ascii="Arial" w:hAnsi="Arial"/>
          <w:color w:val="auto"/>
          <w:sz w:val="20"/>
        </w:rPr>
        <w:t>. stěn, které mají k tomuto účelu navrženo zvýšené krytí výztuže. Zásuvky budou umístěny pod omítkou. Přístroje jsou součástí této elektroinstalace. Napojení zásuvkových obvodů bytových jednotek bude z bytových rozvaděčů RB v jednotlivých bytech. V jednotlivých bytových jednotkách budou vytvořeny samostatné jednofázové zásuvkové obvody pro automatickou pračku. Byty budou vybaveny sklokeramickou deskou a pro tento spotřebič bude v bytě vytvořen trojfázový vývod. Zásuvkové vývody budou vybaveny proudovým chráničem.</w:t>
      </w:r>
    </w:p>
    <w:p w14:paraId="20005431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Zásuvky ve společných prostorech umístit 0,4m nad podlahou. Zásuvky v obytných místnostech umístit dle požadavku </w:t>
      </w:r>
      <w:proofErr w:type="gramStart"/>
      <w:r w:rsidRPr="00CD3110">
        <w:rPr>
          <w:rFonts w:ascii="Arial" w:hAnsi="Arial"/>
          <w:color w:val="auto"/>
          <w:sz w:val="20"/>
        </w:rPr>
        <w:t>architekta</w:t>
      </w:r>
      <w:proofErr w:type="gramEnd"/>
      <w:r w:rsidRPr="00CD3110">
        <w:rPr>
          <w:rFonts w:ascii="Arial" w:hAnsi="Arial"/>
          <w:color w:val="auto"/>
          <w:sz w:val="20"/>
        </w:rPr>
        <w:t xml:space="preserve"> popřípadě nájemníka.</w:t>
      </w:r>
    </w:p>
    <w:p w14:paraId="47AAA48E" w14:textId="77777777" w:rsidR="00CD3110" w:rsidRPr="00CD3110" w:rsidRDefault="00CD3110" w:rsidP="00CD3110">
      <w:pPr>
        <w:rPr>
          <w:sz w:val="20"/>
          <w:u w:val="single"/>
        </w:rPr>
      </w:pPr>
      <w:bookmarkStart w:id="5" w:name="_Toc156266821"/>
      <w:r w:rsidRPr="00CD3110">
        <w:rPr>
          <w:sz w:val="20"/>
          <w:u w:val="single"/>
        </w:rPr>
        <w:t>Spotřebičové elektrorozvody</w:t>
      </w:r>
      <w:bookmarkEnd w:id="5"/>
    </w:p>
    <w:p w14:paraId="7877C3B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Řeší připojení pevně instalovaných spotřebičů techniky prostředí stavby. Jedná se o připojení drobné vzduchotechniky, senzorů splachování, sdělovacích serverů a ústředen, pohonů apod. Vývody budou přesně specifikovány v grafické části. Koncové prvky jsou definovány v legendách. Návrh respektuje požadavky vnějších vlivů a požadavky investora.</w:t>
      </w:r>
    </w:p>
    <w:p w14:paraId="259CEF92" w14:textId="77777777" w:rsidR="00CD3110" w:rsidRPr="00CD3110" w:rsidRDefault="00CD3110" w:rsidP="00CD3110">
      <w:pPr>
        <w:rPr>
          <w:sz w:val="20"/>
          <w:u w:val="single"/>
        </w:rPr>
      </w:pPr>
      <w:bookmarkStart w:id="6" w:name="_Toc156266822"/>
      <w:r w:rsidRPr="00CD3110">
        <w:rPr>
          <w:sz w:val="20"/>
          <w:u w:val="single"/>
        </w:rPr>
        <w:t>Hromosvody a uzemnění</w:t>
      </w:r>
      <w:bookmarkEnd w:id="6"/>
    </w:p>
    <w:p w14:paraId="109F79A7" w14:textId="770207DA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Zemnící síť </w:t>
      </w:r>
      <w:r w:rsidR="00770FDE">
        <w:rPr>
          <w:rFonts w:ascii="Arial" w:hAnsi="Arial"/>
          <w:color w:val="auto"/>
          <w:sz w:val="20"/>
        </w:rPr>
        <w:t xml:space="preserve">bude </w:t>
      </w:r>
      <w:r w:rsidRPr="00CD3110">
        <w:rPr>
          <w:rFonts w:ascii="Arial" w:hAnsi="Arial"/>
          <w:color w:val="auto"/>
          <w:sz w:val="20"/>
        </w:rPr>
        <w:t xml:space="preserve">řešena v kombinaci zemního pásku </w:t>
      </w:r>
      <w:proofErr w:type="spellStart"/>
      <w:r w:rsidRPr="00CD3110">
        <w:rPr>
          <w:rFonts w:ascii="Arial" w:hAnsi="Arial"/>
          <w:color w:val="auto"/>
          <w:sz w:val="20"/>
        </w:rPr>
        <w:t>FeZn</w:t>
      </w:r>
      <w:proofErr w:type="spellEnd"/>
      <w:r w:rsidRPr="00CD3110">
        <w:rPr>
          <w:rFonts w:ascii="Arial" w:hAnsi="Arial"/>
          <w:color w:val="auto"/>
          <w:sz w:val="20"/>
        </w:rPr>
        <w:t xml:space="preserve"> 30/</w:t>
      </w:r>
      <w:proofErr w:type="gramStart"/>
      <w:r w:rsidRPr="00CD3110">
        <w:rPr>
          <w:rFonts w:ascii="Arial" w:hAnsi="Arial"/>
          <w:color w:val="auto"/>
          <w:sz w:val="20"/>
        </w:rPr>
        <w:t>4mm</w:t>
      </w:r>
      <w:proofErr w:type="gramEnd"/>
      <w:r w:rsidRPr="00CD3110">
        <w:rPr>
          <w:rFonts w:ascii="Arial" w:hAnsi="Arial"/>
          <w:color w:val="auto"/>
          <w:sz w:val="20"/>
        </w:rPr>
        <w:t xml:space="preserve"> a izolovaných CYA vodičů z/</w:t>
      </w:r>
      <w:proofErr w:type="spellStart"/>
      <w:r w:rsidRPr="00CD3110">
        <w:rPr>
          <w:rFonts w:ascii="Arial" w:hAnsi="Arial"/>
          <w:color w:val="auto"/>
          <w:sz w:val="20"/>
        </w:rPr>
        <w:t>žl</w:t>
      </w:r>
      <w:proofErr w:type="spellEnd"/>
      <w:r w:rsidRPr="00CD3110">
        <w:rPr>
          <w:rFonts w:ascii="Arial" w:hAnsi="Arial"/>
          <w:color w:val="auto"/>
          <w:sz w:val="20"/>
        </w:rPr>
        <w:t>. Jsou použity hlavní ochranné přípojnice MET</w:t>
      </w:r>
      <w:r w:rsidR="00770FDE">
        <w:rPr>
          <w:rFonts w:ascii="Arial" w:hAnsi="Arial"/>
          <w:color w:val="auto"/>
          <w:sz w:val="20"/>
        </w:rPr>
        <w:t xml:space="preserve">, která se osadí v </w:t>
      </w:r>
      <w:proofErr w:type="spellStart"/>
      <w:r w:rsidR="00770FDE">
        <w:rPr>
          <w:rFonts w:ascii="Arial" w:hAnsi="Arial"/>
          <w:color w:val="auto"/>
          <w:sz w:val="20"/>
        </w:rPr>
        <w:t>szterénu</w:t>
      </w:r>
      <w:proofErr w:type="spellEnd"/>
      <w:r w:rsidRPr="00CD3110">
        <w:rPr>
          <w:rFonts w:ascii="Arial" w:hAnsi="Arial"/>
          <w:color w:val="auto"/>
          <w:sz w:val="20"/>
        </w:rPr>
        <w:t xml:space="preserve">. Vnitřní zemnící síť je napojena na vnější zemnící síť. Pokud bude slaboproud požadovat samostatné uzemnění bude toto provedeno vodičem CYA 6mm2 na MET přímo. Strojený základový zemnič bude uložen </w:t>
      </w:r>
      <w:r>
        <w:rPr>
          <w:rFonts w:ascii="Arial" w:hAnsi="Arial"/>
          <w:color w:val="auto"/>
          <w:sz w:val="20"/>
        </w:rPr>
        <w:t>ve výkopu kolem objektu</w:t>
      </w:r>
      <w:r w:rsidRPr="00CD3110">
        <w:rPr>
          <w:rFonts w:ascii="Arial" w:hAnsi="Arial"/>
          <w:color w:val="auto"/>
          <w:sz w:val="20"/>
        </w:rPr>
        <w:t xml:space="preserve">. Pásek </w:t>
      </w:r>
      <w:proofErr w:type="spellStart"/>
      <w:r w:rsidRPr="00CD3110">
        <w:rPr>
          <w:rFonts w:ascii="Arial" w:hAnsi="Arial"/>
          <w:color w:val="auto"/>
          <w:sz w:val="20"/>
        </w:rPr>
        <w:t>FeZn</w:t>
      </w:r>
      <w:proofErr w:type="spellEnd"/>
      <w:r w:rsidRPr="00CD3110">
        <w:rPr>
          <w:rFonts w:ascii="Arial" w:hAnsi="Arial"/>
          <w:color w:val="auto"/>
          <w:sz w:val="20"/>
        </w:rPr>
        <w:t xml:space="preserve"> 30x4 obvodového uzemnění bude uložen </w:t>
      </w:r>
      <w:r>
        <w:rPr>
          <w:rFonts w:ascii="Arial" w:hAnsi="Arial"/>
          <w:color w:val="auto"/>
          <w:sz w:val="20"/>
        </w:rPr>
        <w:t>min 60</w:t>
      </w:r>
      <w:r w:rsidR="002A54DD">
        <w:rPr>
          <w:rFonts w:ascii="Arial" w:hAnsi="Arial"/>
          <w:color w:val="auto"/>
          <w:sz w:val="20"/>
        </w:rPr>
        <w:t xml:space="preserve"> </w:t>
      </w:r>
      <w:r>
        <w:rPr>
          <w:rFonts w:ascii="Arial" w:hAnsi="Arial"/>
          <w:color w:val="auto"/>
          <w:sz w:val="20"/>
        </w:rPr>
        <w:t>cm pod terénem</w:t>
      </w:r>
      <w:r w:rsidRPr="00CD3110">
        <w:rPr>
          <w:rFonts w:ascii="Arial" w:hAnsi="Arial"/>
          <w:color w:val="auto"/>
          <w:sz w:val="20"/>
        </w:rPr>
        <w:t>. Při křižování a souběhu s ostatními sítěmi bude uložen pod těmito sítěmi ve vzdálenosti min. 10</w:t>
      </w:r>
      <w:r w:rsidR="002A54DD"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cm.</w:t>
      </w:r>
    </w:p>
    <w:p w14:paraId="510AA554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Jímací soustava</w:t>
      </w:r>
    </w:p>
    <w:p w14:paraId="2075610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Řízení rizika pro ochranu před bleskem bylo stanoveno pomocí metodiky dle </w:t>
      </w:r>
      <w:proofErr w:type="spellStart"/>
      <w:r w:rsidRPr="00CD3110">
        <w:rPr>
          <w:rFonts w:ascii="Arial" w:hAnsi="Arial"/>
          <w:color w:val="auto"/>
          <w:sz w:val="20"/>
        </w:rPr>
        <w:t>VdS</w:t>
      </w:r>
      <w:proofErr w:type="spellEnd"/>
      <w:r w:rsidRPr="00CD3110">
        <w:rPr>
          <w:rFonts w:ascii="Arial" w:hAnsi="Arial"/>
          <w:color w:val="auto"/>
          <w:sz w:val="20"/>
        </w:rPr>
        <w:t xml:space="preserve"> 2010 následovně: </w:t>
      </w:r>
    </w:p>
    <w:p w14:paraId="5219323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lastRenderedPageBreak/>
        <w:t>- objekt obytného charakteru, třída LPS III</w:t>
      </w:r>
    </w:p>
    <w:p w14:paraId="2BA984C3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- revizní lhůta (celková revize) 3 roky</w:t>
      </w:r>
    </w:p>
    <w:p w14:paraId="2156F992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2A6BC7">
        <w:rPr>
          <w:rFonts w:ascii="Arial" w:hAnsi="Arial"/>
          <w:color w:val="auto"/>
          <w:sz w:val="20"/>
        </w:rPr>
        <w:t xml:space="preserve">Hromosvod je řešen s </w:t>
      </w:r>
      <w:r>
        <w:rPr>
          <w:rFonts w:ascii="Arial" w:hAnsi="Arial"/>
          <w:color w:val="auto"/>
          <w:sz w:val="20"/>
        </w:rPr>
        <w:t>hřebenovou</w:t>
      </w:r>
      <w:r w:rsidRPr="002A6BC7">
        <w:rPr>
          <w:rFonts w:ascii="Arial" w:hAnsi="Arial"/>
          <w:color w:val="auto"/>
          <w:sz w:val="20"/>
        </w:rPr>
        <w:t xml:space="preserve"> jímací soustavou vodičem </w:t>
      </w:r>
      <w:proofErr w:type="spellStart"/>
      <w:r w:rsidRPr="002A6BC7">
        <w:rPr>
          <w:rFonts w:ascii="Arial" w:hAnsi="Arial"/>
          <w:color w:val="auto"/>
          <w:sz w:val="20"/>
        </w:rPr>
        <w:t>FeZn</w:t>
      </w:r>
      <w:proofErr w:type="spellEnd"/>
      <w:r w:rsidRPr="002A6BC7">
        <w:rPr>
          <w:rFonts w:ascii="Arial" w:hAnsi="Arial"/>
          <w:color w:val="auto"/>
          <w:sz w:val="20"/>
        </w:rPr>
        <w:t xml:space="preserve"> d8mm. Vzduchotechnická zařízení na střeše, jakou jsou ventilátory a další el. zařízení vně objektu budou opatřena </w:t>
      </w:r>
      <w:r>
        <w:rPr>
          <w:rFonts w:ascii="Arial" w:hAnsi="Arial"/>
          <w:color w:val="auto"/>
          <w:sz w:val="20"/>
        </w:rPr>
        <w:t xml:space="preserve">oddáleným </w:t>
      </w:r>
      <w:r w:rsidRPr="002A6BC7">
        <w:rPr>
          <w:rFonts w:ascii="Arial" w:hAnsi="Arial"/>
          <w:color w:val="auto"/>
          <w:sz w:val="20"/>
        </w:rPr>
        <w:t xml:space="preserve">jímačem, tj. jímací tyčí případně více jímači ve vzdálenosti s určené dle ČSN EN 62305-3, čl. 6.3 od chráněného zařízení tak, aby zařízení leželo v ochranném pásmu jímače. Ochranný prostor jímače bude stanoven dle příslušné třídy LPS (LPL) a výškou jímače. Vyústky vzduchotechniky budou opatřeny pomocnými jímači. Pokud nebude možné dodržet dostatečnou vzdálenost s dle ČSN EN 62305-3 (vzdálenost mezi jímací soustavou a vnitřními živými i neživými částmi stavby), musí být tyto neživé části přímo a živé části přes přepěťové ochrany připojeny k přípojnici </w:t>
      </w:r>
      <w:r>
        <w:rPr>
          <w:rFonts w:ascii="Arial" w:hAnsi="Arial"/>
          <w:color w:val="auto"/>
          <w:sz w:val="20"/>
        </w:rPr>
        <w:t>MET</w:t>
      </w:r>
      <w:r w:rsidRPr="002A6BC7">
        <w:rPr>
          <w:rFonts w:ascii="Arial" w:hAnsi="Arial"/>
          <w:color w:val="auto"/>
          <w:sz w:val="20"/>
        </w:rPr>
        <w:t xml:space="preserve"> (vodiči PE). Svody jsou rozděleny po obvodu budovy, max. vzdálenost pro třídu III mezi svody je </w:t>
      </w:r>
      <w:proofErr w:type="gramStart"/>
      <w:r w:rsidRPr="002A6BC7">
        <w:rPr>
          <w:rFonts w:ascii="Arial" w:hAnsi="Arial"/>
          <w:color w:val="auto"/>
          <w:sz w:val="20"/>
        </w:rPr>
        <w:t>15m</w:t>
      </w:r>
      <w:proofErr w:type="gramEnd"/>
      <w:r w:rsidRPr="002A6BC7">
        <w:rPr>
          <w:rFonts w:ascii="Arial" w:hAnsi="Arial"/>
          <w:color w:val="auto"/>
          <w:sz w:val="20"/>
        </w:rPr>
        <w:t xml:space="preserve">. </w:t>
      </w:r>
      <w:r>
        <w:rPr>
          <w:rFonts w:ascii="Arial" w:hAnsi="Arial"/>
          <w:color w:val="auto"/>
          <w:sz w:val="20"/>
        </w:rPr>
        <w:t>Svody budou řešeny jako přisazené</w:t>
      </w:r>
      <w:r w:rsidRPr="002A6BC7">
        <w:rPr>
          <w:rFonts w:ascii="Arial" w:hAnsi="Arial"/>
          <w:color w:val="auto"/>
          <w:sz w:val="20"/>
        </w:rPr>
        <w:t xml:space="preserve"> a budou rozmístěny po obvodu budovy co </w:t>
      </w:r>
      <w:proofErr w:type="spellStart"/>
      <w:r w:rsidRPr="002A6BC7">
        <w:rPr>
          <w:rFonts w:ascii="Arial" w:hAnsi="Arial"/>
          <w:color w:val="auto"/>
          <w:sz w:val="20"/>
        </w:rPr>
        <w:t>nejrovnoměrněji</w:t>
      </w:r>
      <w:proofErr w:type="spellEnd"/>
      <w:r w:rsidRPr="002A6BC7">
        <w:rPr>
          <w:rFonts w:ascii="Arial" w:hAnsi="Arial"/>
          <w:color w:val="auto"/>
          <w:sz w:val="20"/>
        </w:rPr>
        <w:t xml:space="preserve">. Zkušební svorky jsou umístěny v krabicích </w:t>
      </w:r>
      <w:r>
        <w:rPr>
          <w:rFonts w:ascii="Arial" w:hAnsi="Arial"/>
          <w:color w:val="auto"/>
          <w:sz w:val="20"/>
        </w:rPr>
        <w:t>v chodníku</w:t>
      </w:r>
      <w:r w:rsidRPr="002A6BC7">
        <w:rPr>
          <w:rFonts w:ascii="Arial" w:hAnsi="Arial"/>
          <w:color w:val="auto"/>
          <w:sz w:val="20"/>
        </w:rPr>
        <w:t xml:space="preserve"> (lze použít např. svorky </w:t>
      </w:r>
      <w:proofErr w:type="spellStart"/>
      <w:r w:rsidRPr="002A6BC7">
        <w:rPr>
          <w:rFonts w:ascii="Arial" w:hAnsi="Arial"/>
          <w:color w:val="auto"/>
          <w:sz w:val="20"/>
        </w:rPr>
        <w:t>Dehn+Sohne</w:t>
      </w:r>
      <w:proofErr w:type="spellEnd"/>
      <w:r w:rsidRPr="002A6BC7">
        <w:rPr>
          <w:rFonts w:ascii="Arial" w:hAnsi="Arial"/>
          <w:color w:val="auto"/>
          <w:sz w:val="20"/>
        </w:rPr>
        <w:t xml:space="preserve"> nebo OBO). </w:t>
      </w:r>
      <w:r>
        <w:rPr>
          <w:rFonts w:ascii="Arial" w:hAnsi="Arial"/>
          <w:color w:val="auto"/>
          <w:sz w:val="20"/>
        </w:rPr>
        <w:t>Na krabicích budou označena pořadová čísla svorek.</w:t>
      </w:r>
    </w:p>
    <w:p w14:paraId="20B10984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Protipožární ucpávky</w:t>
      </w:r>
      <w:bookmarkEnd w:id="3"/>
    </w:p>
    <w:p w14:paraId="42C6DEA0" w14:textId="77777777" w:rsidR="00E155F7" w:rsidRP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Prostupy kabelových vedení požárně dělícími konstrukcemi v hlavních a sdružených trasách, v prostorách posuzovaných podle ČSN 0802 a ČSN 73 0804 - je požadováno použití ucpávek.</w:t>
      </w:r>
    </w:p>
    <w:p w14:paraId="62577983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7" w:name="_Toc156266824"/>
      <w:r w:rsidRPr="00E155F7">
        <w:rPr>
          <w:sz w:val="20"/>
          <w:u w:val="single"/>
        </w:rPr>
        <w:t>Způsob měření spotřeby elektrické energie</w:t>
      </w:r>
      <w:bookmarkEnd w:id="7"/>
    </w:p>
    <w:p w14:paraId="50DD8B2D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V objektu bude fakturační měření rozděleno na:</w:t>
      </w:r>
    </w:p>
    <w:p w14:paraId="5E312F7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Bytové jednotky</w:t>
      </w:r>
    </w:p>
    <w:p w14:paraId="1FF6B43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Společné prostory nájemníků (chodby, schodiště, sklepy)</w:t>
      </w:r>
    </w:p>
    <w:p w14:paraId="566C3623" w14:textId="2964EEF1" w:rsidR="007D2227" w:rsidRDefault="007D2227" w:rsidP="00E155F7">
      <w:pPr>
        <w:jc w:val="both"/>
        <w:rPr>
          <w:sz w:val="20"/>
          <w:u w:val="single"/>
        </w:rPr>
      </w:pPr>
    </w:p>
    <w:p w14:paraId="202F563D" w14:textId="28494E02" w:rsidR="00770FDE" w:rsidRPr="00C748CB" w:rsidRDefault="00770FDE" w:rsidP="00E155F7">
      <w:pPr>
        <w:jc w:val="both"/>
        <w:rPr>
          <w:rFonts w:cs="Times New Roman"/>
          <w:sz w:val="20"/>
          <w:szCs w:val="20"/>
          <w:lang w:eastAsia="cs-CZ"/>
        </w:rPr>
      </w:pPr>
      <w:r w:rsidRPr="00C748CB">
        <w:rPr>
          <w:rFonts w:cs="Times New Roman"/>
          <w:sz w:val="20"/>
          <w:szCs w:val="20"/>
          <w:lang w:eastAsia="cs-CZ"/>
        </w:rPr>
        <w:t xml:space="preserve">Stávající bytové jednotky mají jednofázové fakturační měření před elektroměrem. Nově se musí požádat o změnu čtyř jističů před elektroměrem pro byty z hodnoty </w:t>
      </w:r>
      <w:proofErr w:type="gramStart"/>
      <w:r w:rsidRPr="00C748CB">
        <w:rPr>
          <w:rFonts w:cs="Times New Roman"/>
          <w:sz w:val="20"/>
          <w:szCs w:val="20"/>
          <w:lang w:eastAsia="cs-CZ"/>
        </w:rPr>
        <w:t>25A</w:t>
      </w:r>
      <w:proofErr w:type="gramEnd"/>
      <w:r w:rsidRPr="00C748CB">
        <w:rPr>
          <w:rFonts w:cs="Times New Roman"/>
          <w:sz w:val="20"/>
          <w:szCs w:val="20"/>
          <w:lang w:eastAsia="cs-CZ"/>
        </w:rPr>
        <w:t xml:space="preserve">/1 na 25A/3. – nově instalována čtyř plotýnková varná deska. </w:t>
      </w:r>
    </w:p>
    <w:p w14:paraId="3A6BE452" w14:textId="77777777" w:rsidR="00770FDE" w:rsidRDefault="00770FDE" w:rsidP="00E155F7">
      <w:pPr>
        <w:jc w:val="both"/>
        <w:rPr>
          <w:sz w:val="20"/>
          <w:u w:val="single"/>
        </w:rPr>
      </w:pPr>
    </w:p>
    <w:p w14:paraId="1065B13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Ochranné pospojování v bytech</w:t>
      </w:r>
    </w:p>
    <w:p w14:paraId="284D207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</w:rPr>
        <w:t>V koupelně a kuchyni se provede doplňující ochranné pospojování vodičem CY</w:t>
      </w:r>
      <w:r w:rsidR="00CD3110">
        <w:rPr>
          <w:sz w:val="20"/>
        </w:rPr>
        <w:t>A</w:t>
      </w:r>
      <w:r w:rsidRPr="00E155F7">
        <w:rPr>
          <w:sz w:val="20"/>
        </w:rPr>
        <w:t xml:space="preserve"> 4 zelenožlutým. Nově se provede svorka překlenutí vodoměru.</w:t>
      </w:r>
    </w:p>
    <w:p w14:paraId="31E25A21" w14:textId="77777777" w:rsidR="007D2227" w:rsidRDefault="007D2227" w:rsidP="00E155F7">
      <w:pPr>
        <w:jc w:val="both"/>
        <w:rPr>
          <w:sz w:val="20"/>
          <w:u w:val="single"/>
        </w:rPr>
      </w:pPr>
    </w:p>
    <w:p w14:paraId="53A87DFA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Hlavní ochranné pospojování v domě</w:t>
      </w:r>
    </w:p>
    <w:p w14:paraId="01F5BF6F" w14:textId="2E90A1C6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 1.PP se na vhodném místě osadí skříň hlavního pospojování domu HOP</w:t>
      </w:r>
      <w:r w:rsidR="00770FDE">
        <w:rPr>
          <w:sz w:val="20"/>
        </w:rPr>
        <w:t>(MET)</w:t>
      </w:r>
      <w:r w:rsidRPr="00E155F7">
        <w:rPr>
          <w:sz w:val="20"/>
        </w:rPr>
        <w:t>. Na přípojnici HOP se připojí veškeré kovové součásti: potrubí ÚT, ocelová konstrukce budovy, plynovodní potrubí, vodovodní potrubí, vzduchotechnické potrubí a přípojnice PEN rozváděč</w:t>
      </w:r>
      <w:r w:rsidR="00770FDE">
        <w:rPr>
          <w:sz w:val="20"/>
        </w:rPr>
        <w:t>e</w:t>
      </w:r>
      <w:r w:rsidRPr="00E155F7">
        <w:rPr>
          <w:sz w:val="20"/>
        </w:rPr>
        <w:t xml:space="preserve"> RE</w:t>
      </w:r>
      <w:r w:rsidR="00770FDE">
        <w:rPr>
          <w:sz w:val="20"/>
        </w:rPr>
        <w:t>, RS</w:t>
      </w:r>
      <w:r w:rsidRPr="00E155F7">
        <w:rPr>
          <w:sz w:val="20"/>
        </w:rPr>
        <w:t>.</w:t>
      </w:r>
    </w:p>
    <w:p w14:paraId="4BBDB01C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719F126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49451A8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7B172060" w14:textId="77777777" w:rsidR="00E155F7" w:rsidRPr="00E155F7" w:rsidRDefault="00E155F7" w:rsidP="00E155F7">
      <w:pPr>
        <w:jc w:val="both"/>
        <w:rPr>
          <w:sz w:val="20"/>
        </w:rPr>
      </w:pPr>
    </w:p>
    <w:p w14:paraId="41420EB1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.Dokumentace skutečného provedení stavby</w:t>
      </w:r>
    </w:p>
    <w:p w14:paraId="1E3A740B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4382985F" w14:textId="77777777" w:rsidR="00E155F7" w:rsidRPr="00E155F7" w:rsidRDefault="00E155F7" w:rsidP="00E155F7">
      <w:pPr>
        <w:jc w:val="both"/>
        <w:rPr>
          <w:sz w:val="20"/>
        </w:rPr>
      </w:pPr>
    </w:p>
    <w:p w14:paraId="041C4E34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6</w:t>
      </w:r>
      <w:r w:rsidR="00E155F7" w:rsidRPr="00E155F7">
        <w:rPr>
          <w:sz w:val="20"/>
          <w:u w:val="single"/>
        </w:rPr>
        <w:t>. 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9"/>
      <w:headerReference w:type="default" r:id="rId10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FEFBE" w14:textId="77777777" w:rsidR="00D82236" w:rsidRDefault="00D82236">
      <w:r>
        <w:separator/>
      </w:r>
    </w:p>
  </w:endnote>
  <w:endnote w:type="continuationSeparator" w:id="0">
    <w:p w14:paraId="7FBFFD76" w14:textId="77777777" w:rsidR="00D82236" w:rsidRDefault="00D8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AADB9" w14:textId="77777777" w:rsidR="00D82236" w:rsidRDefault="00D82236">
      <w:r>
        <w:separator/>
      </w:r>
    </w:p>
  </w:footnote>
  <w:footnote w:type="continuationSeparator" w:id="0">
    <w:p w14:paraId="21A8F4FD" w14:textId="77777777" w:rsidR="00D82236" w:rsidRDefault="00D8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20036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E2ED9" w:rsidRDefault="00D82236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55417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E2ED9" w:rsidRDefault="00D82236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C2E38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48CB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36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437DE"/>
    <w:rsid w:val="00E50982"/>
    <w:rsid w:val="00E50C0C"/>
    <w:rsid w:val="00E51DF1"/>
    <w:rsid w:val="00E54933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1428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9839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Josef</cp:lastModifiedBy>
  <cp:revision>24</cp:revision>
  <cp:lastPrinted>2017-02-24T09:46:00Z</cp:lastPrinted>
  <dcterms:created xsi:type="dcterms:W3CDTF">2017-03-24T11:38:00Z</dcterms:created>
  <dcterms:modified xsi:type="dcterms:W3CDTF">2021-03-10T15:09:00Z</dcterms:modified>
</cp:coreProperties>
</file>