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2. Silová elektroinstalace - technické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ed.2.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TN-C</w:t>
            </w:r>
            <w:r>
              <w:t xml:space="preserve">  (přívod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TN-C-S</w:t>
            </w:r>
            <w:r>
              <w:t xml:space="preserve">  (uzel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TN-S</w:t>
            </w:r>
            <w:r>
              <w:t xml:space="preserve">  (instalační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>Hlavní rozváděč  RE</w:t>
            </w:r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Měření spotřeby elektrické  energie: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 RE  na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Individuelně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spotřebiče )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EBDC2C1" w:rsidR="00E155F7" w:rsidRDefault="00BC2E38" w:rsidP="00E155F7">
      <w:pPr>
        <w:jc w:val="both"/>
      </w:pPr>
      <w:r w:rsidRPr="00BC2E38">
        <w:rPr>
          <w:noProof/>
        </w:rPr>
        <w:drawing>
          <wp:inline distT="0" distB="0" distL="0" distR="0" wp14:anchorId="50E565F1" wp14:editId="0B84A3E6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3. Silnoproudá elektroinstalace - popis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Přípojka nn:</w:t>
      </w:r>
    </w:p>
    <w:p w14:paraId="406D4A20" w14:textId="48A73F72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r w:rsidR="00770FDE">
        <w:rPr>
          <w:rFonts w:ascii="Arial" w:hAnsi="Arial"/>
          <w:color w:val="auto"/>
          <w:sz w:val="20"/>
        </w:rPr>
        <w:t>stávajícm</w:t>
      </w:r>
      <w:r w:rsidRPr="00E155F7">
        <w:rPr>
          <w:rFonts w:ascii="Arial" w:hAnsi="Arial"/>
          <w:color w:val="auto"/>
          <w:sz w:val="20"/>
        </w:rPr>
        <w:t xml:space="preserve"> zemním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770FDE">
        <w:rPr>
          <w:rFonts w:ascii="Arial" w:hAnsi="Arial"/>
          <w:color w:val="auto"/>
          <w:sz w:val="20"/>
        </w:rPr>
        <w:t>na fasádě u vchodu do objektu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 eprovede vedení HDS - RE</w:t>
      </w:r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2</w:t>
      </w:r>
      <w:r w:rsidR="007D2227">
        <w:rPr>
          <w:sz w:val="20"/>
        </w:rPr>
        <w:t>5</w:t>
      </w:r>
      <w:r w:rsidRPr="00E155F7">
        <w:rPr>
          <w:sz w:val="20"/>
        </w:rPr>
        <w:t xml:space="preserve">A/3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prostorách  (osvětlení,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6 (plný počet fází s ohledem na desky v bytě). Rozvodnice RE bude místem přechodu soustavy TN - C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Nouzové osvětlovací soustavy jsou navrženy v souladu s ČSN EN 12464-1 a vyhláškou č. 48/82 Sb. ČÚBP. Nouzové (únikové) osvětlení musí svítit nejpozději do 15s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Vypínače ve společných prostorách umístit 1,2m nad podlahou. Vypínače v obytných místnostech umístit dle požadavku architekta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zkontrolovat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žlb.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Zásuvky ve společných prostorech umístit 0,4m nad podlahou. Zásuvky v obytných místnostech umístit dle požadavku architekta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6" w:name="_Toc156266824"/>
      <w:r w:rsidRPr="00E155F7">
        <w:rPr>
          <w:sz w:val="20"/>
          <w:u w:val="single"/>
        </w:rPr>
        <w:t>Způsob měření spotřeby elektrické energie</w:t>
      </w:r>
      <w:bookmarkEnd w:id="6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C748CB" w:rsidRDefault="00770FDE" w:rsidP="00E155F7">
      <w:pPr>
        <w:jc w:val="both"/>
        <w:rPr>
          <w:rFonts w:cs="Times New Roman"/>
          <w:sz w:val="20"/>
          <w:szCs w:val="20"/>
          <w:lang w:eastAsia="cs-CZ"/>
        </w:rPr>
      </w:pPr>
      <w:r w:rsidRPr="00C748CB">
        <w:rPr>
          <w:rFonts w:cs="Times New Roman"/>
          <w:sz w:val="20"/>
          <w:szCs w:val="20"/>
          <w:lang w:eastAsia="cs-CZ"/>
        </w:rPr>
        <w:lastRenderedPageBreak/>
        <w:t xml:space="preserve">Stávající bytové jednotky mají jednofázové fakturační měření před elektroměrem. Nově se musí požádat o změnu čtyř jističů před elektroměrem pro byty z hodnoty 25A/1 na 25A/3. – nově instalována čtyř plotýnková varná deska. </w:t>
      </w: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EFBE" w14:textId="77777777" w:rsidR="00D82236" w:rsidRDefault="00D82236">
      <w:r>
        <w:separator/>
      </w:r>
    </w:p>
  </w:endnote>
  <w:endnote w:type="continuationSeparator" w:id="0">
    <w:p w14:paraId="7FBFFD76" w14:textId="77777777" w:rsidR="00D82236" w:rsidRDefault="00D8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ADB9" w14:textId="77777777" w:rsidR="00D82236" w:rsidRDefault="00D82236">
      <w:r>
        <w:separator/>
      </w:r>
    </w:p>
  </w:footnote>
  <w:footnote w:type="continuationSeparator" w:id="0">
    <w:p w14:paraId="21A8F4FD" w14:textId="77777777" w:rsidR="00D82236" w:rsidRDefault="00D8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0036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E2ED9" w:rsidRDefault="00FB10F7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5417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E2ED9" w:rsidRDefault="00FB10F7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C2E38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48CB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36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437DE"/>
    <w:rsid w:val="00E50982"/>
    <w:rsid w:val="00E50C0C"/>
    <w:rsid w:val="00E51DF1"/>
    <w:rsid w:val="00E54933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0F7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1158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7977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Martina Chobotová</cp:lastModifiedBy>
  <cp:revision>25</cp:revision>
  <cp:lastPrinted>2017-02-24T09:46:00Z</cp:lastPrinted>
  <dcterms:created xsi:type="dcterms:W3CDTF">2017-03-24T11:38:00Z</dcterms:created>
  <dcterms:modified xsi:type="dcterms:W3CDTF">2021-10-26T18:08:00Z</dcterms:modified>
</cp:coreProperties>
</file>