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D2BAE" w14:textId="77777777" w:rsidR="0038174D" w:rsidRDefault="009A7238" w:rsidP="009A7238">
      <w:pPr>
        <w:jc w:val="center"/>
        <w:rPr>
          <w:rFonts w:cstheme="minorHAnsi"/>
          <w:b/>
        </w:rPr>
      </w:pPr>
      <w:r w:rsidRPr="00B85D44">
        <w:rPr>
          <w:rFonts w:cstheme="minorHAnsi"/>
          <w:b/>
        </w:rPr>
        <w:t>Písemná zpráv</w:t>
      </w:r>
      <w:r w:rsidR="00E6166C" w:rsidRPr="00B85D44">
        <w:rPr>
          <w:rFonts w:cstheme="minorHAnsi"/>
          <w:b/>
        </w:rPr>
        <w:t xml:space="preserve">a zadavatele </w:t>
      </w:r>
    </w:p>
    <w:p w14:paraId="3F504CB6" w14:textId="0921F159" w:rsidR="00B138FB" w:rsidRPr="00BF5FEF" w:rsidRDefault="00E6166C" w:rsidP="0087741F">
      <w:pPr>
        <w:spacing w:after="60"/>
        <w:jc w:val="center"/>
        <w:rPr>
          <w:rFonts w:cstheme="minorHAnsi"/>
          <w:b/>
          <w:sz w:val="20"/>
        </w:rPr>
      </w:pPr>
      <w:r w:rsidRPr="00BF5FEF">
        <w:rPr>
          <w:rFonts w:cstheme="minorHAnsi"/>
          <w:b/>
          <w:sz w:val="20"/>
        </w:rPr>
        <w:t>dle ust. § 217 zákona č. 13</w:t>
      </w:r>
      <w:r w:rsidR="001A5E5A">
        <w:rPr>
          <w:rFonts w:cstheme="minorHAnsi"/>
          <w:b/>
          <w:sz w:val="20"/>
        </w:rPr>
        <w:t>4</w:t>
      </w:r>
      <w:r w:rsidRPr="00BF5FEF">
        <w:rPr>
          <w:rFonts w:cstheme="minorHAnsi"/>
          <w:b/>
          <w:sz w:val="20"/>
        </w:rPr>
        <w:t>/2016 Sb., o zadávání veřejných zakázek</w:t>
      </w:r>
      <w:r w:rsidR="0038174D" w:rsidRPr="00BF5FEF">
        <w:rPr>
          <w:rFonts w:cstheme="minorHAnsi"/>
          <w:b/>
          <w:sz w:val="20"/>
        </w:rPr>
        <w:t xml:space="preserve">, </w:t>
      </w:r>
      <w:r w:rsidR="00B138FB" w:rsidRPr="00BF5FEF">
        <w:rPr>
          <w:rFonts w:cstheme="minorHAnsi"/>
          <w:b/>
          <w:sz w:val="20"/>
        </w:rPr>
        <w:t>v</w:t>
      </w:r>
      <w:r w:rsidR="0087741F">
        <w:rPr>
          <w:rFonts w:cstheme="minorHAnsi"/>
          <w:b/>
          <w:sz w:val="20"/>
        </w:rPr>
        <w:t>e znění pozdějších předpisů</w:t>
      </w:r>
      <w:r w:rsidR="00F72DCC">
        <w:rPr>
          <w:rFonts w:cstheme="minorHAnsi"/>
          <w:b/>
          <w:sz w:val="20"/>
        </w:rPr>
        <w:t xml:space="preserve"> (dále jen „zákon“)</w:t>
      </w:r>
      <w:r w:rsidR="0087741F">
        <w:rPr>
          <w:rFonts w:cstheme="minorHAnsi"/>
          <w:b/>
          <w:sz w:val="20"/>
        </w:rPr>
        <w:t xml:space="preserve"> </w:t>
      </w:r>
      <w:r w:rsidR="00B138FB" w:rsidRPr="00BF5FEF">
        <w:rPr>
          <w:rFonts w:cstheme="minorHAnsi"/>
          <w:b/>
          <w:sz w:val="20"/>
        </w:rPr>
        <w:t>v</w:t>
      </w:r>
      <w:r w:rsidR="00F72DCC">
        <w:rPr>
          <w:rFonts w:cstheme="minorHAnsi"/>
          <w:b/>
          <w:sz w:val="20"/>
        </w:rPr>
        <w:t> nadlimitní sektorové</w:t>
      </w:r>
      <w:r w:rsidR="00E66B40">
        <w:rPr>
          <w:rFonts w:cstheme="minorHAnsi"/>
          <w:b/>
          <w:sz w:val="20"/>
        </w:rPr>
        <w:t xml:space="preserve"> </w:t>
      </w:r>
      <w:r w:rsidR="00B138FB" w:rsidRPr="00BF5FEF">
        <w:rPr>
          <w:rFonts w:cstheme="minorHAnsi"/>
          <w:b/>
          <w:sz w:val="20"/>
        </w:rPr>
        <w:t>veřejné zakázce s názvem „</w:t>
      </w:r>
      <w:r w:rsidR="00F72DCC" w:rsidRPr="00F72DCC">
        <w:rPr>
          <w:rFonts w:cstheme="minorHAnsi"/>
          <w:b/>
          <w:sz w:val="20"/>
        </w:rPr>
        <w:t>Dodávka docházkového, personálního a mzdového systému včetně webového portálu</w:t>
      </w:r>
      <w:r w:rsidR="00B138FB" w:rsidRPr="00BF5FEF">
        <w:rPr>
          <w:rFonts w:cs="Calibri"/>
          <w:b/>
          <w:sz w:val="20"/>
        </w:rPr>
        <w:t>“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7238" w:rsidRPr="003D3D98" w14:paraId="688B8294" w14:textId="77777777" w:rsidTr="003D3D98">
        <w:trPr>
          <w:trHeight w:val="363"/>
        </w:trPr>
        <w:tc>
          <w:tcPr>
            <w:tcW w:w="9062" w:type="dxa"/>
            <w:shd w:val="clear" w:color="auto" w:fill="E7E6E6" w:themeFill="background2"/>
          </w:tcPr>
          <w:p w14:paraId="5E22650D" w14:textId="61E962F2" w:rsidR="009A7238" w:rsidRPr="003D3D98" w:rsidRDefault="00212C27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a1</w:t>
            </w:r>
            <w:r w:rsidR="009A7238" w:rsidRPr="003D3D98">
              <w:rPr>
                <w:rStyle w:val="PromnnHTML"/>
                <w:rFonts w:cstheme="minorHAnsi"/>
                <w:sz w:val="20"/>
                <w:szCs w:val="20"/>
              </w:rPr>
              <w:t>)</w:t>
            </w:r>
            <w:r w:rsidR="009A7238" w:rsidRPr="003D3D98">
              <w:rPr>
                <w:rFonts w:cstheme="minorHAnsi"/>
                <w:sz w:val="20"/>
                <w:szCs w:val="20"/>
              </w:rPr>
              <w:t xml:space="preserve"> označení zadavatele</w:t>
            </w:r>
          </w:p>
        </w:tc>
      </w:tr>
      <w:tr w:rsidR="009A7238" w:rsidRPr="003D3D98" w14:paraId="75A82CFF" w14:textId="77777777" w:rsidTr="003D3D98">
        <w:trPr>
          <w:trHeight w:val="363"/>
        </w:trPr>
        <w:tc>
          <w:tcPr>
            <w:tcW w:w="9062" w:type="dxa"/>
          </w:tcPr>
          <w:p w14:paraId="41EB299C" w14:textId="32E82FA1" w:rsidR="009A7238" w:rsidRPr="00F72DCC" w:rsidRDefault="00F72DCC" w:rsidP="003D3D98">
            <w:pPr>
              <w:spacing w:after="120"/>
              <w:rPr>
                <w:rStyle w:val="PromnnHTML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87741F">
              <w:rPr>
                <w:rStyle w:val="PromnnHTML"/>
                <w:rFonts w:cstheme="minorHAnsi"/>
                <w:b/>
                <w:i w:val="0"/>
                <w:iCs w:val="0"/>
                <w:color w:val="000000" w:themeColor="text1"/>
                <w:sz w:val="20"/>
                <w:szCs w:val="20"/>
              </w:rPr>
              <w:t>Dopravní podnik Ostrava a.s.</w:t>
            </w:r>
            <w:r w:rsidRPr="00F72DCC">
              <w:rPr>
                <w:rStyle w:val="PromnnHTML"/>
                <w:rFonts w:cstheme="minorHAnsi"/>
                <w:i w:val="0"/>
                <w:iCs w:val="0"/>
                <w:color w:val="000000" w:themeColor="text1"/>
                <w:sz w:val="20"/>
                <w:szCs w:val="20"/>
              </w:rPr>
              <w:t>,</w:t>
            </w:r>
            <w:r w:rsidRPr="00F72DCC">
              <w:rPr>
                <w:rStyle w:val="PromnnHTML"/>
                <w:i w:val="0"/>
                <w:color w:val="000000" w:themeColor="text1"/>
                <w:sz w:val="20"/>
                <w:szCs w:val="20"/>
              </w:rPr>
              <w:t xml:space="preserve"> se sídlem Poděbradova 494/2, Moravská Ostrava, 702 00 Ostrava, IČO: 61974757</w:t>
            </w:r>
          </w:p>
        </w:tc>
      </w:tr>
      <w:tr w:rsidR="009A7238" w:rsidRPr="003D3D98" w14:paraId="71587632" w14:textId="77777777" w:rsidTr="003D3D98">
        <w:trPr>
          <w:trHeight w:val="363"/>
        </w:trPr>
        <w:tc>
          <w:tcPr>
            <w:tcW w:w="9062" w:type="dxa"/>
            <w:shd w:val="clear" w:color="auto" w:fill="E7E6E6" w:themeFill="background2"/>
          </w:tcPr>
          <w:p w14:paraId="4FD31EFB" w14:textId="58C392F3" w:rsidR="009A7238" w:rsidRPr="003D3D98" w:rsidRDefault="00212C27" w:rsidP="003D3D98">
            <w:pPr>
              <w:spacing w:after="120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221A1C">
              <w:rPr>
                <w:rStyle w:val="PromnnHTML"/>
                <w:rFonts w:cstheme="minorHAnsi"/>
                <w:color w:val="000000" w:themeColor="text1"/>
                <w:sz w:val="20"/>
                <w:szCs w:val="20"/>
              </w:rPr>
              <w:t>a2</w:t>
            </w:r>
            <w:r w:rsidR="009A7238" w:rsidRPr="00221A1C">
              <w:rPr>
                <w:rStyle w:val="PromnnHTML"/>
                <w:rFonts w:cstheme="minorHAnsi"/>
                <w:color w:val="000000" w:themeColor="text1"/>
                <w:sz w:val="20"/>
                <w:szCs w:val="20"/>
              </w:rPr>
              <w:t>)</w:t>
            </w:r>
            <w:r w:rsidR="009A7238" w:rsidRPr="00221A1C">
              <w:rPr>
                <w:rFonts w:cstheme="minorHAnsi"/>
                <w:color w:val="000000" w:themeColor="text1"/>
                <w:sz w:val="20"/>
                <w:szCs w:val="20"/>
              </w:rPr>
              <w:t xml:space="preserve"> předmět</w:t>
            </w:r>
            <w:r w:rsidR="009A7238" w:rsidRPr="003D3D98">
              <w:rPr>
                <w:rFonts w:cstheme="minorHAnsi"/>
                <w:color w:val="000000" w:themeColor="text1"/>
                <w:sz w:val="20"/>
                <w:szCs w:val="20"/>
              </w:rPr>
              <w:t xml:space="preserve"> veřejné zakázky</w:t>
            </w:r>
          </w:p>
        </w:tc>
      </w:tr>
      <w:tr w:rsidR="009A7238" w:rsidRPr="003D3D98" w14:paraId="5DB4C096" w14:textId="77777777" w:rsidTr="003D3D98">
        <w:trPr>
          <w:trHeight w:val="363"/>
        </w:trPr>
        <w:tc>
          <w:tcPr>
            <w:tcW w:w="9062" w:type="dxa"/>
          </w:tcPr>
          <w:p w14:paraId="34BB8B24" w14:textId="696CBDAA" w:rsidR="00F72DCC" w:rsidRPr="00F72DCC" w:rsidRDefault="00F72DCC" w:rsidP="00F72DC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Předmětem této veřejné zakázky je dodávka a implementace:</w:t>
            </w:r>
          </w:p>
          <w:p w14:paraId="19D5BC45" w14:textId="77777777" w:rsidR="00F72DCC" w:rsidRPr="00F72DCC" w:rsidRDefault="00F72DCC" w:rsidP="00F72DCC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1134" w:hanging="708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Personálního systému,</w:t>
            </w:r>
          </w:p>
          <w:p w14:paraId="37A474E4" w14:textId="77777777" w:rsidR="00F72DCC" w:rsidRPr="00F72DCC" w:rsidRDefault="00F72DCC" w:rsidP="00F72DCC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1134" w:hanging="708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Mzdového systému (opce – viz dále),</w:t>
            </w:r>
          </w:p>
          <w:p w14:paraId="3B250FCB" w14:textId="77777777" w:rsidR="00F72DCC" w:rsidRPr="00F72DCC" w:rsidRDefault="00F72DCC" w:rsidP="00F72DCC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1134" w:hanging="708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Docházkového a přístupového systému včetně evidence návštěv (opce – viz dále),</w:t>
            </w:r>
          </w:p>
          <w:p w14:paraId="17DBA4BB" w14:textId="77777777" w:rsidR="00F72DCC" w:rsidRPr="00F72DCC" w:rsidRDefault="00F72DCC" w:rsidP="00F72DCC">
            <w:pPr>
              <w:pStyle w:val="Odstavecseseznamem"/>
              <w:numPr>
                <w:ilvl w:val="0"/>
                <w:numId w:val="6"/>
              </w:numPr>
              <w:spacing w:line="276" w:lineRule="auto"/>
              <w:ind w:left="1134" w:hanging="708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Webového portálu pro zaměstnance (opce – viz dále),</w:t>
            </w:r>
          </w:p>
          <w:p w14:paraId="47A59B9F" w14:textId="6B0368F7" w:rsidR="00F72DCC" w:rsidRPr="00F72DCC" w:rsidRDefault="00F72DCC" w:rsidP="00F72DCC">
            <w:pPr>
              <w:pStyle w:val="Odstavecseseznamem"/>
              <w:spacing w:line="276" w:lineRule="auto"/>
              <w:ind w:left="1134" w:hanging="141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 xml:space="preserve">   a dále údržba, servis a potřebný rozvoj Systémů.</w:t>
            </w:r>
          </w:p>
          <w:p w14:paraId="7CDEB5D3" w14:textId="06F267A7" w:rsidR="00F72DCC" w:rsidRPr="00F72DCC" w:rsidRDefault="00F72DCC" w:rsidP="00F72DCC">
            <w:pPr>
              <w:pStyle w:val="Odstavecseseznamem"/>
              <w:spacing w:line="276" w:lineRule="auto"/>
              <w:ind w:left="1134" w:hanging="141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(souhrnně dále jen „</w:t>
            </w:r>
            <w:r w:rsidRPr="00F72DCC">
              <w:rPr>
                <w:rFonts w:cstheme="minorHAnsi"/>
                <w:b/>
                <w:bCs/>
                <w:sz w:val="20"/>
                <w:szCs w:val="20"/>
              </w:rPr>
              <w:t>Systém</w:t>
            </w:r>
            <w:r w:rsidRPr="00F72DCC">
              <w:rPr>
                <w:rFonts w:cstheme="minorHAnsi"/>
                <w:sz w:val="20"/>
                <w:szCs w:val="20"/>
              </w:rPr>
              <w:t>“ nebo také „</w:t>
            </w:r>
            <w:r w:rsidRPr="00F72DCC">
              <w:rPr>
                <w:rFonts w:cstheme="minorHAnsi"/>
                <w:b/>
                <w:bCs/>
                <w:sz w:val="20"/>
                <w:szCs w:val="20"/>
              </w:rPr>
              <w:t>Systémy</w:t>
            </w:r>
            <w:r w:rsidRPr="00F72DCC">
              <w:rPr>
                <w:rFonts w:cstheme="minorHAnsi"/>
                <w:sz w:val="20"/>
                <w:szCs w:val="20"/>
              </w:rPr>
              <w:t>“ (při užití zvlášť pak: „Personální systém“, „Mzdový systém“, „Docházkový a přístupový systém“ a „Webový portál“)</w:t>
            </w:r>
          </w:p>
          <w:p w14:paraId="0292BCCF" w14:textId="77777777" w:rsidR="007417EE" w:rsidRPr="00F72DCC" w:rsidRDefault="00F72DCC" w:rsidP="00F72DCC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F72DCC">
              <w:rPr>
                <w:rFonts w:cstheme="minorHAnsi"/>
                <w:sz w:val="20"/>
                <w:szCs w:val="20"/>
              </w:rPr>
              <w:t>Dalšími dílčími předměty Veřejné zakázky je komplexní (integrované) poskytnutí a implementace informačního systému pro podporu činností v oblasti lidských zdrojů včetně integrace do stávající infrastruktury IS/ICT s návazností na integraci na stávající okolní informační systémy, který bude respektovat prostředí a organizační uspořádání Zadavatele.</w:t>
            </w:r>
          </w:p>
          <w:p w14:paraId="52C7FFFF" w14:textId="620ACAAE" w:rsidR="00F72DCC" w:rsidRPr="007417EE" w:rsidRDefault="00F72DCC" w:rsidP="00F72DCC">
            <w:pPr>
              <w:spacing w:line="276" w:lineRule="auto"/>
              <w:jc w:val="both"/>
              <w:rPr>
                <w:rStyle w:val="PromnnHTML"/>
                <w:rFonts w:cstheme="minorHAnsi"/>
                <w:i w:val="0"/>
                <w:iCs w:val="0"/>
                <w:sz w:val="20"/>
                <w:szCs w:val="20"/>
              </w:rPr>
            </w:pPr>
            <w:r w:rsidRPr="00F72DCC">
              <w:rPr>
                <w:rStyle w:val="PromnnHTML"/>
                <w:rFonts w:cstheme="minorHAnsi"/>
                <w:i w:val="0"/>
                <w:iCs w:val="0"/>
                <w:sz w:val="20"/>
                <w:szCs w:val="20"/>
              </w:rPr>
              <w:t>Docházkový a přístupový systém, Mzdový systém a Webový portál pro zaměstnance Zadavatel však poptává ve formě opce, resp. vyhrazené změny závazku ve smyslu ust. § 100 odst. 1 zákona (dále v textu jen „Opční části Systému“); konkrétně uvedené znamená, že Zadavatel váže realizaci Opční části Systému na splnění odkládací podmínky, kterým je výslovný pokyn Zadavatele v průběhu následujících 24 měsíců od nabytí účinnosti smlouvy Zhotoviteli (resp. vybranému dodavateli) k započetí prací na Opčních částech Systému. Z uvedeného vyplývá, že plnění na Opčních částech Systému nemusí být vůbec realizováno (tj. výslovně řečeno ani Zadavatelem uhrazeno).</w:t>
            </w:r>
          </w:p>
        </w:tc>
      </w:tr>
      <w:tr w:rsidR="00221A1C" w:rsidRPr="003D3D98" w14:paraId="7799870F" w14:textId="77777777" w:rsidTr="00221A1C">
        <w:trPr>
          <w:trHeight w:val="363"/>
        </w:trPr>
        <w:tc>
          <w:tcPr>
            <w:tcW w:w="9062" w:type="dxa"/>
            <w:shd w:val="clear" w:color="auto" w:fill="E7E6E6" w:themeFill="background2"/>
          </w:tcPr>
          <w:p w14:paraId="76961B12" w14:textId="554743F7" w:rsidR="00221A1C" w:rsidRPr="00221A1C" w:rsidRDefault="00221A1C" w:rsidP="003D3D98">
            <w:pPr>
              <w:suppressAutoHyphens/>
              <w:spacing w:after="120"/>
              <w:jc w:val="both"/>
              <w:rPr>
                <w:rStyle w:val="velkytext"/>
                <w:rFonts w:cstheme="minorHAnsi"/>
                <w:sz w:val="20"/>
                <w:szCs w:val="20"/>
              </w:rPr>
            </w:pPr>
            <w:r w:rsidRPr="00221A1C">
              <w:rPr>
                <w:rStyle w:val="velkytext"/>
                <w:i/>
                <w:sz w:val="20"/>
                <w:szCs w:val="20"/>
              </w:rPr>
              <w:t>a3)</w:t>
            </w:r>
            <w:r w:rsidRPr="00221A1C">
              <w:rPr>
                <w:rStyle w:val="velkytext"/>
                <w:sz w:val="20"/>
                <w:szCs w:val="20"/>
              </w:rPr>
              <w:t xml:space="preserve"> cena sjednaná ve smlouvě na veřejnou zakázku, pokud byla uzavřena </w:t>
            </w:r>
          </w:p>
        </w:tc>
      </w:tr>
      <w:tr w:rsidR="00221A1C" w:rsidRPr="003D3D98" w14:paraId="37DD265C" w14:textId="77777777" w:rsidTr="003D3D98">
        <w:trPr>
          <w:trHeight w:val="363"/>
        </w:trPr>
        <w:tc>
          <w:tcPr>
            <w:tcW w:w="9062" w:type="dxa"/>
          </w:tcPr>
          <w:p w14:paraId="2A73CF1C" w14:textId="320F5B47" w:rsidR="00221A1C" w:rsidRPr="00221357" w:rsidRDefault="0044147D" w:rsidP="0028292C">
            <w:pPr>
              <w:suppressAutoHyphens/>
              <w:jc w:val="both"/>
              <w:rPr>
                <w:rStyle w:val="velkytext"/>
                <w:rFonts w:cstheme="minorHAnsi"/>
                <w:i/>
                <w:sz w:val="20"/>
                <w:szCs w:val="20"/>
              </w:rPr>
            </w:pPr>
            <w:r w:rsidRPr="00221357">
              <w:rPr>
                <w:rStyle w:val="PromnnHTML"/>
                <w:rFonts w:cstheme="minorHAnsi"/>
                <w:sz w:val="20"/>
                <w:szCs w:val="20"/>
              </w:rPr>
              <w:t>Neuplatní se,</w:t>
            </w:r>
            <w:r w:rsidRPr="00221357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s</w:t>
            </w:r>
            <w:r w:rsidRPr="00221357">
              <w:rPr>
                <w:i/>
                <w:color w:val="333333"/>
                <w:sz w:val="20"/>
              </w:rPr>
              <w:t>mlouva nebyla uzavřena</w:t>
            </w:r>
          </w:p>
        </w:tc>
      </w:tr>
      <w:tr w:rsidR="009A7238" w:rsidRPr="003D3D98" w14:paraId="2C23743B" w14:textId="77777777" w:rsidTr="003D3D98">
        <w:trPr>
          <w:trHeight w:val="317"/>
        </w:trPr>
        <w:tc>
          <w:tcPr>
            <w:tcW w:w="9062" w:type="dxa"/>
            <w:shd w:val="clear" w:color="auto" w:fill="E7E6E6" w:themeFill="background2"/>
          </w:tcPr>
          <w:p w14:paraId="464A5173" w14:textId="5185C29E" w:rsidR="009A7238" w:rsidRPr="003D3D98" w:rsidRDefault="009A7238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b)</w:t>
            </w:r>
            <w:r w:rsidRPr="003D3D98">
              <w:rPr>
                <w:rFonts w:cstheme="minorHAnsi"/>
                <w:sz w:val="20"/>
                <w:szCs w:val="20"/>
              </w:rPr>
              <w:t xml:space="preserve"> použitý druh zadávacího řízení</w:t>
            </w:r>
          </w:p>
        </w:tc>
      </w:tr>
      <w:tr w:rsidR="009A7238" w:rsidRPr="003D3D98" w14:paraId="0A3755ED" w14:textId="77777777" w:rsidTr="00AE173B">
        <w:trPr>
          <w:trHeight w:val="404"/>
        </w:trPr>
        <w:tc>
          <w:tcPr>
            <w:tcW w:w="9062" w:type="dxa"/>
          </w:tcPr>
          <w:p w14:paraId="672ED1E6" w14:textId="60F540D7" w:rsidR="009A7238" w:rsidRPr="003D3D98" w:rsidRDefault="00F3234E" w:rsidP="003D3D98">
            <w:pPr>
              <w:spacing w:after="120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Jednací řízení s uveřejněním </w:t>
            </w:r>
            <w:r w:rsid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dle ust. § 60 souv. zákona</w:t>
            </w:r>
          </w:p>
        </w:tc>
      </w:tr>
      <w:tr w:rsidR="009A7238" w:rsidRPr="003D3D98" w14:paraId="6CFDFCD7" w14:textId="77777777" w:rsidTr="003D3D98">
        <w:trPr>
          <w:trHeight w:val="331"/>
        </w:trPr>
        <w:tc>
          <w:tcPr>
            <w:tcW w:w="9062" w:type="dxa"/>
            <w:shd w:val="clear" w:color="auto" w:fill="E7E6E6" w:themeFill="background2"/>
          </w:tcPr>
          <w:p w14:paraId="07E811C2" w14:textId="13880609" w:rsidR="009A7238" w:rsidRPr="003D3D98" w:rsidRDefault="009A7238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c)</w:t>
            </w:r>
            <w:r w:rsidRPr="003D3D98">
              <w:rPr>
                <w:rFonts w:cstheme="minorHAnsi"/>
                <w:sz w:val="20"/>
                <w:szCs w:val="20"/>
              </w:rPr>
              <w:t xml:space="preserve"> označení účastníků zadávacího řízení</w:t>
            </w:r>
          </w:p>
        </w:tc>
      </w:tr>
      <w:tr w:rsidR="009A7238" w:rsidRPr="003D3D98" w14:paraId="49F10C2B" w14:textId="77777777" w:rsidTr="00F4614D">
        <w:trPr>
          <w:trHeight w:val="360"/>
        </w:trPr>
        <w:tc>
          <w:tcPr>
            <w:tcW w:w="9062" w:type="dxa"/>
          </w:tcPr>
          <w:p w14:paraId="2B0031B5" w14:textId="1877105F" w:rsidR="00AE173B" w:rsidRPr="00AE173B" w:rsidRDefault="00AE173B" w:rsidP="00AE173B">
            <w:pPr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proofErr w:type="spellStart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OKsystem</w:t>
            </w:r>
            <w:proofErr w:type="spellEnd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, a.s., se sídlem Na Pankráci 1690/125, 140 21 Praha 4, IČO: 27373665</w:t>
            </w:r>
          </w:p>
          <w:p w14:paraId="417FB43C" w14:textId="2ABBDBA3" w:rsidR="00AE173B" w:rsidRPr="00AE173B" w:rsidRDefault="00AE173B" w:rsidP="00AE173B">
            <w:pPr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S&amp;T CZ s.r.o., se sídlem V parku 2316/12, 148 00 Praha 4, IČO: 44846029</w:t>
            </w:r>
          </w:p>
          <w:p w14:paraId="66D9BB3D" w14:textId="03E5CEDD" w:rsidR="00B44FF7" w:rsidRPr="00221357" w:rsidRDefault="00AE173B" w:rsidP="00AE173B">
            <w:pPr>
              <w:rPr>
                <w:rStyle w:val="PromnnHTML"/>
                <w:rFonts w:cstheme="minorHAnsi"/>
                <w:sz w:val="20"/>
                <w:szCs w:val="20"/>
              </w:rPr>
            </w:pPr>
            <w:proofErr w:type="spellStart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Solutions</w:t>
            </w:r>
            <w:proofErr w:type="spellEnd"/>
            <w:r w:rsidRPr="00AE173B">
              <w:rPr>
                <w:rStyle w:val="PromnnHTML"/>
                <w:rFonts w:cstheme="minorHAnsi"/>
                <w:i w:val="0"/>
                <w:sz w:val="20"/>
                <w:szCs w:val="20"/>
              </w:rPr>
              <w:t>, a.s., se sídlem Zelený pruh 1560/99, 140 02 Praha 4, IČO: 64949541</w:t>
            </w:r>
          </w:p>
        </w:tc>
      </w:tr>
      <w:tr w:rsidR="009A7238" w:rsidRPr="003D3D98" w14:paraId="4863B464" w14:textId="77777777" w:rsidTr="003D3D98">
        <w:trPr>
          <w:trHeight w:val="317"/>
        </w:trPr>
        <w:tc>
          <w:tcPr>
            <w:tcW w:w="9062" w:type="dxa"/>
            <w:shd w:val="clear" w:color="auto" w:fill="E7E6E6" w:themeFill="background2"/>
          </w:tcPr>
          <w:p w14:paraId="3F6CB4DF" w14:textId="645C4A8E" w:rsidR="009A7238" w:rsidRPr="003D3D98" w:rsidRDefault="009A7238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d)</w:t>
            </w:r>
            <w:r w:rsidRPr="003D3D98">
              <w:rPr>
                <w:rFonts w:cstheme="minorHAnsi"/>
                <w:sz w:val="20"/>
                <w:szCs w:val="20"/>
              </w:rPr>
              <w:t xml:space="preserve"> označení všech vyloučených účastníků zadávacího řízení s uvedením důvodu jejich vyloučení</w:t>
            </w:r>
          </w:p>
        </w:tc>
      </w:tr>
      <w:tr w:rsidR="00E6166C" w:rsidRPr="003D3D98" w14:paraId="52BEC533" w14:textId="77777777" w:rsidTr="003D3D98">
        <w:trPr>
          <w:trHeight w:val="317"/>
        </w:trPr>
        <w:tc>
          <w:tcPr>
            <w:tcW w:w="9062" w:type="dxa"/>
          </w:tcPr>
          <w:p w14:paraId="0C0F0536" w14:textId="51426E2B" w:rsidR="002B601C" w:rsidRDefault="002B601C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proofErr w:type="spellStart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Solutions</w:t>
            </w:r>
            <w:proofErr w:type="spellEnd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, a.s., se sídlem Zelený pruh 1560/99, 140 02 Praha 4, IČO: 64949541</w:t>
            </w: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(dále jen „účastník </w:t>
            </w:r>
            <w:proofErr w:type="spellStart"/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Solution</w:t>
            </w:r>
            <w:proofErr w:type="spellEnd"/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>“)</w:t>
            </w:r>
          </w:p>
          <w:p w14:paraId="69DF5923" w14:textId="184CAE91" w:rsidR="002B601C" w:rsidRPr="002B601C" w:rsidRDefault="002B601C" w:rsidP="00696BAB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Po jednání hodnoticí komise zadavatel zaslal účastníkovi </w:t>
            </w:r>
            <w:proofErr w:type="spellStart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Solution</w:t>
            </w:r>
            <w:proofErr w:type="spellEnd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opakovaně </w:t>
            </w: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výzvu k doplnění žádosti o účast dle ust. § 46 odst. 1 zákona, ve které požadoval doplnění informací a dokumentů ke splnění technické kvalifikace dle ust. </w:t>
            </w:r>
            <w:r w:rsidR="00696BAB" w:rsidRP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>§</w:t>
            </w:r>
            <w:r w:rsidRP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§ </w:t>
            </w:r>
            <w:r w:rsidR="00696BAB" w:rsidRP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78 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>o</w:t>
            </w:r>
            <w:r w:rsidR="00696BAB">
              <w:rPr>
                <w:rStyle w:val="PromnnHTML"/>
                <w:rFonts w:cstheme="minorHAnsi"/>
                <w:sz w:val="20"/>
                <w:szCs w:val="20"/>
              </w:rPr>
              <w:t xml:space="preserve">dst. </w:t>
            </w:r>
            <w:r w:rsidR="00696BAB" w:rsidRPr="00696BAB">
              <w:rPr>
                <w:rStyle w:val="PromnnHTML"/>
                <w:rFonts w:cstheme="minorHAnsi"/>
                <w:i w:val="0"/>
                <w:iCs w:val="0"/>
                <w:sz w:val="20"/>
                <w:szCs w:val="20"/>
              </w:rPr>
              <w:t>5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r w:rsidR="00696BAB" w:rsidRP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a </w:t>
            </w: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79 odst. 2 písm. b) zákona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>.</w:t>
            </w:r>
          </w:p>
          <w:p w14:paraId="6E53D251" w14:textId="52D3DEE9" w:rsidR="002B601C" w:rsidRPr="002B601C" w:rsidRDefault="00696BAB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Zadavatel na svou poslední žádost o doplnění a vysvětlení žádosti o účast neobdržel v jím stanovené lhůtě odpověď. </w:t>
            </w:r>
          </w:p>
          <w:p w14:paraId="5C4E5ABA" w14:textId="7F3F39CF" w:rsidR="002B601C" w:rsidRDefault="002B601C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Zadavateli tedy nezbylo než účastníka </w:t>
            </w:r>
            <w:proofErr w:type="spellStart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Solution</w:t>
            </w:r>
            <w:proofErr w:type="spellEnd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na základě ust. § 48 odst. 2 písm. a) zákona vyloučit ze zadávacího řízení na veřejnou zakázku, neboť zadavatelem požadované doklady a údaje nebyly ze strany účastníka </w:t>
            </w:r>
            <w:proofErr w:type="spellStart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>Asseco</w:t>
            </w:r>
            <w:proofErr w:type="spellEnd"/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proofErr w:type="spellStart"/>
            <w:r w:rsidR="00AD06D6">
              <w:rPr>
                <w:rStyle w:val="PromnnHTML"/>
                <w:rFonts w:cstheme="minorHAnsi"/>
                <w:i w:val="0"/>
                <w:sz w:val="20"/>
                <w:szCs w:val="20"/>
              </w:rPr>
              <w:t>Solution</w:t>
            </w:r>
            <w:proofErr w:type="spellEnd"/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doloženy ve stanovené lhůtě.</w:t>
            </w:r>
          </w:p>
          <w:p w14:paraId="288BC050" w14:textId="77777777" w:rsidR="00696BAB" w:rsidRDefault="00696BAB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</w:p>
          <w:p w14:paraId="20CA24FF" w14:textId="77777777" w:rsidR="00AD06D6" w:rsidRPr="002B601C" w:rsidRDefault="00AD06D6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</w:p>
          <w:p w14:paraId="27CAA865" w14:textId="0C24BBB1" w:rsidR="002B601C" w:rsidRPr="002B601C" w:rsidRDefault="002B601C" w:rsidP="002B601C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2B601C">
              <w:rPr>
                <w:rStyle w:val="PromnnHTML"/>
                <w:rFonts w:cstheme="minorHAnsi"/>
                <w:i w:val="0"/>
                <w:sz w:val="20"/>
                <w:szCs w:val="20"/>
              </w:rPr>
              <w:lastRenderedPageBreak/>
              <w:t>S&amp;T CZ s.r.o., se sídlem V parku 2316/12, 148 00 Praha 4, IČO: 44846029</w:t>
            </w: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(dále jen „účastník</w:t>
            </w:r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</w:t>
            </w:r>
            <w:r w:rsidR="00722FEA"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S&amp;T CZ</w:t>
            </w:r>
            <w:r w:rsid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“)</w:t>
            </w:r>
          </w:p>
          <w:p w14:paraId="317D7200" w14:textId="74B5F864" w:rsidR="00722FEA" w:rsidRPr="00722FEA" w:rsidRDefault="00722FEA" w:rsidP="00722FEA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Po jednání hodnoticí komise zadavatel zaslal výzvu k doplnění žádosti o účast účastníka S&amp;T CZ dle ust. § 46 odst. 1 zákona, ve které požadoval doplnění informací a dokumentů ke splnění technické kvalifikace dle ust. 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§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79 odst. 2 písm. b) zákona a čl. 10.1.6. písm. a. výzvy k podání žádosti o účast a zadávacích podmínek (významné služby), neboť v žádosti o účast účastníka S&amp;T CZ předmětné dokumenty a informace chyběly. </w:t>
            </w:r>
          </w:p>
          <w:p w14:paraId="5E4BDA0D" w14:textId="43A656F8" w:rsidR="00722FEA" w:rsidRPr="00722FEA" w:rsidRDefault="00722FEA" w:rsidP="00722FEA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Zároveň zadavatel oslovil osoby uvedené v seznamu významných služeb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. 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Z poskytnutého vysvětlení vyplynulo, že účastník S&amp;T CZ nesplnil požadavek technické kvalifikace, neboť předloženou významnou službou nebyla prokázána dodávka personálního a mzdového systému, což byl požadavek pro prokázání technické kvalifikace na základě čl. 10.1.6. písm. a) výzvy k podání nabídek a zadávací dokumentace; Z poskytnuté informace že účastník S&amp;T CZ úspěšně dodal jiné služby, avšak nikoliv dodávku personálního a mzdového systému. </w:t>
            </w:r>
          </w:p>
          <w:p w14:paraId="1EF90E00" w14:textId="5C6BCE9A" w:rsidR="00722FEA" w:rsidRPr="00722FEA" w:rsidRDefault="00722FEA" w:rsidP="00722FEA">
            <w:pPr>
              <w:jc w:val="both"/>
              <w:rPr>
                <w:rStyle w:val="PromnnHTML"/>
                <w:rFonts w:cstheme="minorHAnsi"/>
                <w:i w:val="0"/>
                <w:sz w:val="20"/>
                <w:szCs w:val="20"/>
              </w:rPr>
            </w:pP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Ve své žádosti o účast účastník S&amp;T CZ sice dále poskytl prokázání splnění technické kvalifikace také další dvě významné služby, avšak na ně nemohl zadavatel brát zřetel, neboť jsou vystavené na společnost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, která není 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osobu účastníka S&amp;T CZ, která podala žádost o účast v zadávacím řízení</w:t>
            </w:r>
            <w:r w:rsidR="00696BAB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a zároveň nebyla doložena žádní spojitost mezi touto osobou a účastníkem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.</w:t>
            </w:r>
          </w:p>
          <w:p w14:paraId="340C30F4" w14:textId="3EE83350" w:rsidR="002B601C" w:rsidRPr="003A38B6" w:rsidRDefault="00722FEA" w:rsidP="00CA75DA">
            <w:pPr>
              <w:jc w:val="both"/>
              <w:rPr>
                <w:rStyle w:val="PromnnHTML"/>
                <w:rFonts w:cstheme="minorHAnsi"/>
                <w:sz w:val="20"/>
                <w:szCs w:val="20"/>
              </w:rPr>
            </w:pP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>Zadavateli tedy nezbylo než účastníka S&amp;T CZ na základě ust. § 48 odst. 2 písm. a) zákona vyloučit ze zadávacího řízení na veřejnou zakázku, neboť zadavatelem požadované a účastníkem S&amp;T CZ předložené doklady a údaje nesplnily zadávací podmínky.</w:t>
            </w:r>
          </w:p>
        </w:tc>
      </w:tr>
      <w:tr w:rsidR="00E6166C" w:rsidRPr="003D3D98" w14:paraId="47A26D80" w14:textId="77777777" w:rsidTr="003D3D98">
        <w:trPr>
          <w:trHeight w:val="648"/>
        </w:trPr>
        <w:tc>
          <w:tcPr>
            <w:tcW w:w="9062" w:type="dxa"/>
            <w:shd w:val="clear" w:color="auto" w:fill="E7E6E6" w:themeFill="background2"/>
          </w:tcPr>
          <w:p w14:paraId="7BA01715" w14:textId="43A507C5" w:rsidR="00E6166C" w:rsidRPr="00A02C4E" w:rsidRDefault="00E6166C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A02C4E">
              <w:rPr>
                <w:rStyle w:val="PromnnHTML"/>
                <w:rFonts w:cstheme="minorHAnsi"/>
                <w:sz w:val="20"/>
                <w:szCs w:val="20"/>
              </w:rPr>
              <w:lastRenderedPageBreak/>
              <w:t>e)</w:t>
            </w:r>
            <w:r w:rsidRPr="00A02C4E">
              <w:rPr>
                <w:rFonts w:cstheme="minorHAnsi"/>
                <w:sz w:val="20"/>
                <w:szCs w:val="20"/>
              </w:rPr>
              <w:t xml:space="preserve"> označení dodavatelů, s nimiž byla uzavřena smlouva nebo rámcová dohoda, nebo dodavatelů, kteří byli zařazeni do dynamického nákupního systému, včetně odůvodnění jejich výběru</w:t>
            </w:r>
          </w:p>
        </w:tc>
      </w:tr>
      <w:tr w:rsidR="00EB11B4" w:rsidRPr="003D3D98" w14:paraId="32801D31" w14:textId="77777777" w:rsidTr="003D3D98">
        <w:trPr>
          <w:trHeight w:val="331"/>
        </w:trPr>
        <w:tc>
          <w:tcPr>
            <w:tcW w:w="9062" w:type="dxa"/>
          </w:tcPr>
          <w:p w14:paraId="3D4F9E7E" w14:textId="598BA26D" w:rsidR="003D3D98" w:rsidRPr="00A02C4E" w:rsidRDefault="0044147D" w:rsidP="00934BA8">
            <w:pPr>
              <w:jc w:val="both"/>
              <w:rPr>
                <w:rStyle w:val="PromnnHTML"/>
                <w:rFonts w:cstheme="minorHAnsi"/>
                <w:bCs/>
                <w:iCs w:val="0"/>
                <w:sz w:val="20"/>
                <w:szCs w:val="20"/>
              </w:rPr>
            </w:pPr>
            <w:r w:rsidRPr="00A02C4E">
              <w:rPr>
                <w:rStyle w:val="PromnnHTML"/>
                <w:rFonts w:cstheme="minorHAnsi"/>
                <w:sz w:val="20"/>
                <w:szCs w:val="20"/>
              </w:rPr>
              <w:t>Neuplatní se,</w:t>
            </w:r>
            <w:r w:rsidRPr="00A02C4E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s</w:t>
            </w:r>
            <w:r w:rsidRPr="00A02C4E">
              <w:rPr>
                <w:i/>
                <w:sz w:val="20"/>
              </w:rPr>
              <w:t>mlouva nebyla uzavřena</w:t>
            </w:r>
          </w:p>
        </w:tc>
      </w:tr>
      <w:tr w:rsidR="00EB11B4" w:rsidRPr="003D3D98" w14:paraId="50287298" w14:textId="77777777" w:rsidTr="003D3D98">
        <w:trPr>
          <w:trHeight w:val="317"/>
        </w:trPr>
        <w:tc>
          <w:tcPr>
            <w:tcW w:w="9062" w:type="dxa"/>
            <w:shd w:val="clear" w:color="auto" w:fill="E7E6E6" w:themeFill="background2"/>
          </w:tcPr>
          <w:p w14:paraId="77ECBD56" w14:textId="2D27F6C5" w:rsidR="00EB11B4" w:rsidRPr="00A02C4E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A02C4E">
              <w:rPr>
                <w:rStyle w:val="PromnnHTML"/>
                <w:rFonts w:cstheme="minorHAnsi"/>
                <w:sz w:val="20"/>
                <w:szCs w:val="20"/>
              </w:rPr>
              <w:t>f)</w:t>
            </w:r>
            <w:r w:rsidRPr="00A02C4E">
              <w:rPr>
                <w:rFonts w:cstheme="minorHAnsi"/>
                <w:sz w:val="20"/>
                <w:szCs w:val="20"/>
              </w:rPr>
              <w:t xml:space="preserve"> označení poddodavatelů dodavatelů podle písmene e), pokud jsou zadavateli známi</w:t>
            </w:r>
          </w:p>
        </w:tc>
      </w:tr>
      <w:tr w:rsidR="00EB11B4" w:rsidRPr="003D3D98" w14:paraId="1B8A07D9" w14:textId="77777777" w:rsidTr="003D3D98">
        <w:trPr>
          <w:trHeight w:val="317"/>
        </w:trPr>
        <w:tc>
          <w:tcPr>
            <w:tcW w:w="9062" w:type="dxa"/>
          </w:tcPr>
          <w:p w14:paraId="3AC10FDB" w14:textId="5CE31593" w:rsidR="00EB11B4" w:rsidRPr="00A02C4E" w:rsidRDefault="00DB60DB" w:rsidP="00DB60DB">
            <w:pPr>
              <w:rPr>
                <w:rStyle w:val="PromnnHTML"/>
                <w:rFonts w:cstheme="minorHAnsi"/>
                <w:sz w:val="20"/>
                <w:szCs w:val="20"/>
              </w:rPr>
            </w:pPr>
            <w:r w:rsidRPr="00A02C4E">
              <w:rPr>
                <w:rStyle w:val="PromnnHTML"/>
                <w:rFonts w:cstheme="minorHAnsi"/>
                <w:sz w:val="20"/>
                <w:szCs w:val="20"/>
              </w:rPr>
              <w:t>Neuplatní</w:t>
            </w:r>
            <w:r w:rsidR="0044147D" w:rsidRPr="00A02C4E">
              <w:rPr>
                <w:rStyle w:val="PromnnHTML"/>
                <w:rFonts w:cstheme="minorHAnsi"/>
                <w:sz w:val="20"/>
                <w:szCs w:val="20"/>
              </w:rPr>
              <w:t xml:space="preserve"> se</w:t>
            </w:r>
            <w:r w:rsidR="0044147D" w:rsidRPr="00A02C4E">
              <w:rPr>
                <w:rStyle w:val="PromnnHTML"/>
                <w:rFonts w:cstheme="minorHAnsi"/>
                <w:i w:val="0"/>
                <w:sz w:val="20"/>
                <w:szCs w:val="20"/>
              </w:rPr>
              <w:t>, s</w:t>
            </w:r>
            <w:r w:rsidR="0044147D" w:rsidRPr="00A02C4E">
              <w:rPr>
                <w:i/>
                <w:sz w:val="20"/>
              </w:rPr>
              <w:t>mlouva nebyla uzavřena</w:t>
            </w:r>
          </w:p>
        </w:tc>
      </w:tr>
      <w:tr w:rsidR="00EB11B4" w:rsidRPr="003D3D98" w14:paraId="710737DE" w14:textId="77777777" w:rsidTr="003D3D98">
        <w:trPr>
          <w:trHeight w:val="331"/>
        </w:trPr>
        <w:tc>
          <w:tcPr>
            <w:tcW w:w="9062" w:type="dxa"/>
            <w:shd w:val="clear" w:color="auto" w:fill="E7E6E6" w:themeFill="background2"/>
          </w:tcPr>
          <w:p w14:paraId="195BC7A8" w14:textId="7132B41D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g)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použití jednacího řízení s uveřejněním nebo řízení se soutěžním dialogem, byla-li použita</w:t>
            </w:r>
          </w:p>
        </w:tc>
      </w:tr>
      <w:tr w:rsidR="00EB11B4" w:rsidRPr="003D3D98" w14:paraId="72F4EFFA" w14:textId="77777777" w:rsidTr="003D3D98">
        <w:trPr>
          <w:trHeight w:val="317"/>
        </w:trPr>
        <w:tc>
          <w:tcPr>
            <w:tcW w:w="9062" w:type="dxa"/>
          </w:tcPr>
          <w:p w14:paraId="3CF7368F" w14:textId="04D2C22A" w:rsidR="00EB11B4" w:rsidRPr="003D3D98" w:rsidRDefault="00CA75DA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Veřejná zakázka je zakázkou sektorovou, jelikož veřejný </w:t>
            </w: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>z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adavatel ji zadává při výkonu relevantní činnosti dle </w:t>
            </w: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>ust.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§ 153 odst. 1 písm. f) zákona. Zadavatel je dle </w:t>
            </w:r>
            <w:r>
              <w:rPr>
                <w:rStyle w:val="PromnnHTML"/>
                <w:rFonts w:cstheme="minorHAnsi"/>
                <w:i w:val="0"/>
                <w:sz w:val="20"/>
                <w:szCs w:val="20"/>
              </w:rPr>
              <w:t>ust.</w:t>
            </w:r>
            <w:r w:rsidRPr="00722FEA">
              <w:rPr>
                <w:rStyle w:val="PromnnHTML"/>
                <w:rFonts w:cstheme="minorHAnsi"/>
                <w:i w:val="0"/>
                <w:sz w:val="20"/>
                <w:szCs w:val="20"/>
              </w:rPr>
              <w:t xml:space="preserve"> § 161 zákona oprávněn sektorovou zakázku vždy zadat v jednacím řízení s uveřejněním. Veřejná zakázka je proto zadávána jako nadlimitní sektorová zakázka v jednacím řízení s uveřejněním.</w:t>
            </w:r>
          </w:p>
        </w:tc>
      </w:tr>
      <w:tr w:rsidR="00EB11B4" w:rsidRPr="003D3D98" w14:paraId="5EE15BC1" w14:textId="77777777" w:rsidTr="003D3D98">
        <w:trPr>
          <w:trHeight w:val="331"/>
        </w:trPr>
        <w:tc>
          <w:tcPr>
            <w:tcW w:w="9062" w:type="dxa"/>
            <w:shd w:val="clear" w:color="auto" w:fill="E7E6E6" w:themeFill="background2"/>
          </w:tcPr>
          <w:p w14:paraId="39A73678" w14:textId="08FF91DC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h)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použití jednacího řízení bez uveřejnění, bylo-li použito</w:t>
            </w:r>
          </w:p>
        </w:tc>
      </w:tr>
      <w:tr w:rsidR="00EB11B4" w:rsidRPr="003D3D98" w14:paraId="72F76C93" w14:textId="77777777" w:rsidTr="00CA75DA">
        <w:trPr>
          <w:trHeight w:val="346"/>
        </w:trPr>
        <w:tc>
          <w:tcPr>
            <w:tcW w:w="9062" w:type="dxa"/>
          </w:tcPr>
          <w:p w14:paraId="0689E3DE" w14:textId="040DE4F7" w:rsidR="00EB11B4" w:rsidRPr="00CA75DA" w:rsidRDefault="00CA75DA" w:rsidP="0086568D">
            <w:pPr>
              <w:spacing w:after="120"/>
              <w:jc w:val="both"/>
              <w:rPr>
                <w:rStyle w:val="PromnnHTML"/>
                <w:rFonts w:cstheme="minorHAnsi"/>
                <w:sz w:val="20"/>
                <w:szCs w:val="20"/>
              </w:rPr>
            </w:pPr>
            <w:r w:rsidRPr="00CA75DA">
              <w:rPr>
                <w:rStyle w:val="PromnnHTML"/>
                <w:rFonts w:cstheme="minorHAnsi"/>
                <w:sz w:val="20"/>
                <w:szCs w:val="20"/>
              </w:rPr>
              <w:t>Neuplatní se nebylo použito</w:t>
            </w:r>
          </w:p>
        </w:tc>
      </w:tr>
      <w:tr w:rsidR="00EB11B4" w:rsidRPr="003D3D98" w14:paraId="2AAB5CB8" w14:textId="77777777" w:rsidTr="00BB0A08">
        <w:tc>
          <w:tcPr>
            <w:tcW w:w="9062" w:type="dxa"/>
            <w:shd w:val="clear" w:color="auto" w:fill="E7E6E6" w:themeFill="background2"/>
          </w:tcPr>
          <w:p w14:paraId="190D34B2" w14:textId="4F8B5F37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i)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použití zjednodušeného režimu, bylo-li použito</w:t>
            </w:r>
          </w:p>
        </w:tc>
      </w:tr>
      <w:tr w:rsidR="00EB11B4" w:rsidRPr="003D3D98" w14:paraId="1CAF4D48" w14:textId="77777777" w:rsidTr="009A7238">
        <w:tc>
          <w:tcPr>
            <w:tcW w:w="9062" w:type="dxa"/>
          </w:tcPr>
          <w:p w14:paraId="0B10C056" w14:textId="2EF056EF" w:rsidR="00EB11B4" w:rsidRPr="003D3D98" w:rsidRDefault="003D3D98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Neuplatní</w:t>
            </w:r>
            <w:r w:rsidR="0067431B">
              <w:rPr>
                <w:rStyle w:val="PromnnHTML"/>
                <w:rFonts w:cstheme="minorHAnsi"/>
                <w:sz w:val="20"/>
                <w:szCs w:val="20"/>
              </w:rPr>
              <w:t xml:space="preserve"> se</w:t>
            </w:r>
            <w:r w:rsidRPr="003D3D98">
              <w:rPr>
                <w:rStyle w:val="PromnnHTML"/>
                <w:rFonts w:cstheme="minorHAnsi"/>
                <w:sz w:val="20"/>
                <w:szCs w:val="20"/>
              </w:rPr>
              <w:t>, nebylo použito</w:t>
            </w:r>
          </w:p>
        </w:tc>
      </w:tr>
      <w:tr w:rsidR="00EB11B4" w:rsidRPr="003D3D98" w14:paraId="53255D1E" w14:textId="77777777" w:rsidTr="00BB0A08">
        <w:tc>
          <w:tcPr>
            <w:tcW w:w="9062" w:type="dxa"/>
            <w:shd w:val="clear" w:color="auto" w:fill="E7E6E6" w:themeFill="background2"/>
          </w:tcPr>
          <w:p w14:paraId="0C3472D0" w14:textId="1E4A80AE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j)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zrušení zadávacího řízení nebo nezavedení dynamického nákupního systému, pokud k tomuto došlo</w:t>
            </w:r>
          </w:p>
        </w:tc>
      </w:tr>
      <w:tr w:rsidR="00EB11B4" w:rsidRPr="003D3D98" w14:paraId="4734226C" w14:textId="77777777" w:rsidTr="009A7238">
        <w:tc>
          <w:tcPr>
            <w:tcW w:w="9062" w:type="dxa"/>
          </w:tcPr>
          <w:p w14:paraId="737F692D" w14:textId="2050A2CB" w:rsidR="003A5758" w:rsidRPr="003A5758" w:rsidRDefault="003A5758" w:rsidP="003A57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A5758">
              <w:rPr>
                <w:rFonts w:cstheme="minorHAnsi"/>
                <w:sz w:val="20"/>
                <w:szCs w:val="20"/>
              </w:rPr>
              <w:t>Zadavatel obdržel ve lhůtě pro podání žádosti o účast žádosti 3 dodavatelů/účastníků zadávacího řízení na veřejnou zakázku:</w:t>
            </w:r>
          </w:p>
          <w:p w14:paraId="79F2DA55" w14:textId="77777777" w:rsidR="003A5758" w:rsidRPr="003A5758" w:rsidRDefault="003A5758" w:rsidP="003A5758">
            <w:pPr>
              <w:pStyle w:val="Odstavecseseznamem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proofErr w:type="spellStart"/>
            <w:r w:rsidRPr="003A5758">
              <w:rPr>
                <w:sz w:val="20"/>
                <w:szCs w:val="20"/>
              </w:rPr>
              <w:t>OKsystem</w:t>
            </w:r>
            <w:proofErr w:type="spellEnd"/>
            <w:r w:rsidRPr="003A5758">
              <w:rPr>
                <w:sz w:val="20"/>
                <w:szCs w:val="20"/>
              </w:rPr>
              <w:t>, a.s., se sídlem Na Pankráci 1690/125, 140 21 Praha 4, IČO: 27373665,</w:t>
            </w:r>
          </w:p>
          <w:p w14:paraId="74AED9CC" w14:textId="77777777" w:rsidR="003A5758" w:rsidRPr="003A5758" w:rsidRDefault="003A5758" w:rsidP="003A5758">
            <w:pPr>
              <w:pStyle w:val="Odstavecseseznamem"/>
              <w:numPr>
                <w:ilvl w:val="0"/>
                <w:numId w:val="7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3A5758">
              <w:rPr>
                <w:sz w:val="20"/>
                <w:szCs w:val="20"/>
              </w:rPr>
              <w:t>S&amp;T CZ s.r.o., se sídlem V parku 2316/12, 148 00 Praha 4, IČO: 44846029,</w:t>
            </w:r>
          </w:p>
          <w:p w14:paraId="0D412C5D" w14:textId="50820F1A" w:rsidR="003A5758" w:rsidRPr="003A5758" w:rsidRDefault="003A5758" w:rsidP="00267C88">
            <w:pPr>
              <w:pStyle w:val="Odstavecseseznamem"/>
              <w:numPr>
                <w:ilvl w:val="0"/>
                <w:numId w:val="7"/>
              </w:num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proofErr w:type="spellStart"/>
            <w:r w:rsidRPr="003A5758">
              <w:rPr>
                <w:sz w:val="20"/>
                <w:szCs w:val="20"/>
              </w:rPr>
              <w:t>Asseco</w:t>
            </w:r>
            <w:proofErr w:type="spellEnd"/>
            <w:r w:rsidRPr="003A5758">
              <w:rPr>
                <w:sz w:val="20"/>
                <w:szCs w:val="20"/>
              </w:rPr>
              <w:t xml:space="preserve"> </w:t>
            </w:r>
            <w:proofErr w:type="spellStart"/>
            <w:r w:rsidRPr="003A5758">
              <w:rPr>
                <w:sz w:val="20"/>
                <w:szCs w:val="20"/>
              </w:rPr>
              <w:t>Solutions</w:t>
            </w:r>
            <w:proofErr w:type="spellEnd"/>
            <w:r w:rsidRPr="003A5758">
              <w:rPr>
                <w:sz w:val="20"/>
                <w:szCs w:val="20"/>
              </w:rPr>
              <w:t>, a.s., se sídlem Zelený pruh 1560/99, 140 02 Praha 4, IČO: 64949541.</w:t>
            </w:r>
          </w:p>
          <w:p w14:paraId="288A2B9E" w14:textId="77777777" w:rsidR="003A5758" w:rsidRPr="003A5758" w:rsidRDefault="003A5758" w:rsidP="003A5758">
            <w:pPr>
              <w:pStyle w:val="Odstavecseseznamem"/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14:paraId="419D9F03" w14:textId="0F50B7C3" w:rsidR="003A5758" w:rsidRPr="003A5758" w:rsidRDefault="003A5758" w:rsidP="003A5758">
            <w:pPr>
              <w:jc w:val="both"/>
              <w:rPr>
                <w:rFonts w:cstheme="minorHAnsi"/>
                <w:sz w:val="20"/>
                <w:szCs w:val="20"/>
              </w:rPr>
            </w:pPr>
            <w:r w:rsidRPr="003A5758">
              <w:rPr>
                <w:rFonts w:cstheme="minorHAnsi"/>
                <w:sz w:val="20"/>
                <w:szCs w:val="20"/>
              </w:rPr>
              <w:t xml:space="preserve">Dne 24. 4. 2023 rozhodl zadavatel o </w:t>
            </w:r>
            <w:r w:rsidRPr="003A5758">
              <w:rPr>
                <w:rFonts w:cstheme="minorHAnsi"/>
                <w:bCs/>
                <w:sz w:val="20"/>
                <w:szCs w:val="20"/>
              </w:rPr>
              <w:t>vyloučení</w:t>
            </w:r>
            <w:r w:rsidRPr="003A5758">
              <w:rPr>
                <w:rFonts w:cstheme="minorHAnsi"/>
                <w:sz w:val="20"/>
                <w:szCs w:val="20"/>
              </w:rPr>
              <w:t xml:space="preserve"> ze zadávacího řízení dvou účastníků, konkrétně společností: </w:t>
            </w:r>
            <w:r w:rsidRPr="003A5758">
              <w:rPr>
                <w:rFonts w:cstheme="minorHAnsi"/>
                <w:bCs/>
                <w:sz w:val="20"/>
                <w:szCs w:val="20"/>
              </w:rPr>
              <w:t>S&amp;T CZ s.r.o.</w:t>
            </w:r>
            <w:r w:rsidRPr="003A5758">
              <w:rPr>
                <w:rFonts w:cstheme="minorHAnsi"/>
                <w:sz w:val="20"/>
                <w:szCs w:val="20"/>
              </w:rPr>
              <w:t>, se sídlem V parku 2316/12, 148 00 Praha 4, IČO: 44846029 a </w:t>
            </w:r>
            <w:proofErr w:type="spellStart"/>
            <w:r w:rsidRPr="003A5758">
              <w:rPr>
                <w:rFonts w:cstheme="minorHAnsi"/>
                <w:bCs/>
                <w:sz w:val="20"/>
                <w:szCs w:val="20"/>
              </w:rPr>
              <w:t>Asseco</w:t>
            </w:r>
            <w:proofErr w:type="spellEnd"/>
            <w:r w:rsidRPr="003A5758">
              <w:rPr>
                <w:rFonts w:cstheme="minorHAnsi"/>
                <w:bCs/>
                <w:sz w:val="20"/>
                <w:szCs w:val="20"/>
              </w:rPr>
              <w:t> </w:t>
            </w:r>
            <w:proofErr w:type="spellStart"/>
            <w:r w:rsidRPr="003A5758">
              <w:rPr>
                <w:rFonts w:cstheme="minorHAnsi"/>
                <w:bCs/>
                <w:sz w:val="20"/>
                <w:szCs w:val="20"/>
              </w:rPr>
              <w:t>Solutions</w:t>
            </w:r>
            <w:proofErr w:type="spellEnd"/>
            <w:r w:rsidRPr="003A5758">
              <w:rPr>
                <w:rFonts w:cstheme="minorHAnsi"/>
                <w:bCs/>
                <w:sz w:val="20"/>
                <w:szCs w:val="20"/>
              </w:rPr>
              <w:t>, a.s.</w:t>
            </w:r>
            <w:r w:rsidRPr="003A5758">
              <w:rPr>
                <w:rFonts w:cstheme="minorHAnsi"/>
                <w:sz w:val="20"/>
                <w:szCs w:val="20"/>
              </w:rPr>
              <w:t>, se sídlem Zelený pruh 1560/99, 140 02 Praha 4, IČO: 64949541.</w:t>
            </w:r>
          </w:p>
          <w:p w14:paraId="6C60AFE8" w14:textId="26A6793A" w:rsidR="003A5758" w:rsidRPr="003A5758" w:rsidRDefault="003A5758" w:rsidP="003A5758">
            <w:pPr>
              <w:spacing w:line="276" w:lineRule="auto"/>
              <w:jc w:val="both"/>
              <w:rPr>
                <w:bCs/>
                <w:sz w:val="20"/>
                <w:szCs w:val="20"/>
              </w:rPr>
            </w:pPr>
            <w:r w:rsidRPr="003A5758">
              <w:rPr>
                <w:rFonts w:cstheme="minorHAnsi"/>
                <w:sz w:val="20"/>
                <w:szCs w:val="20"/>
              </w:rPr>
              <w:t xml:space="preserve">V zadávacím řízení tedy v současnosti </w:t>
            </w:r>
            <w:r w:rsidRPr="003A5758">
              <w:rPr>
                <w:rFonts w:cstheme="minorHAnsi"/>
                <w:bCs/>
                <w:sz w:val="20"/>
                <w:szCs w:val="20"/>
              </w:rPr>
              <w:t>zbyl jediný účastník</w:t>
            </w:r>
            <w:r w:rsidRPr="003A5758">
              <w:rPr>
                <w:rFonts w:cstheme="minorHAnsi"/>
                <w:sz w:val="20"/>
                <w:szCs w:val="20"/>
              </w:rPr>
              <w:t xml:space="preserve">, a sice společnost </w:t>
            </w:r>
            <w:proofErr w:type="spellStart"/>
            <w:r w:rsidRPr="003A5758">
              <w:rPr>
                <w:rFonts w:cstheme="minorHAnsi"/>
                <w:bCs/>
                <w:sz w:val="20"/>
                <w:szCs w:val="20"/>
              </w:rPr>
              <w:t>OKsystem</w:t>
            </w:r>
            <w:proofErr w:type="spellEnd"/>
            <w:r w:rsidRPr="003A5758">
              <w:rPr>
                <w:rFonts w:cstheme="minorHAnsi"/>
                <w:bCs/>
                <w:sz w:val="20"/>
                <w:szCs w:val="20"/>
              </w:rPr>
              <w:t>, a.s.</w:t>
            </w:r>
            <w:r w:rsidRPr="003A5758">
              <w:rPr>
                <w:rFonts w:cstheme="minorHAnsi"/>
                <w:sz w:val="20"/>
                <w:szCs w:val="20"/>
              </w:rPr>
              <w:t>, se sídlem Na Pankráci 1690/125, 140 21 Praha 4, IČO: 27373665.</w:t>
            </w:r>
            <w:r w:rsidRPr="003A5758">
              <w:rPr>
                <w:bCs/>
                <w:sz w:val="20"/>
                <w:szCs w:val="20"/>
              </w:rPr>
              <w:t xml:space="preserve"> </w:t>
            </w:r>
          </w:p>
          <w:p w14:paraId="1A919A1C" w14:textId="6515C5C3" w:rsidR="003A5758" w:rsidRPr="003A5758" w:rsidRDefault="003A5758" w:rsidP="003A5758">
            <w:pPr>
              <w:spacing w:line="276" w:lineRule="auto"/>
              <w:jc w:val="both"/>
              <w:rPr>
                <w:rFonts w:cstheme="minorHAnsi"/>
                <w:bCs/>
                <w:sz w:val="20"/>
                <w:szCs w:val="20"/>
              </w:rPr>
            </w:pPr>
            <w:r w:rsidRPr="003A5758">
              <w:rPr>
                <w:rFonts w:cstheme="minorHAnsi"/>
                <w:bCs/>
                <w:sz w:val="20"/>
                <w:szCs w:val="20"/>
              </w:rPr>
              <w:t xml:space="preserve">Zrušení zadávacího řízení v nastalé situaci není sice pro zadavatele ze zákona povinné, nicméně vzhledem ke skutečnosti, že v zadávacím řízení zbyl jediný účastník, se z podstaty vytrácí efekt hospodářské soutěže, který je principem zadávacího řízení jako takového. Lze v důsledku předpokládat, že by se za uvedené situace nezadařilo zadavateli získat ekonomicky výhodnou nabídku od jediného účastníka na rozdíl od situace, pokud by hospodářská soutěž o veřejnou zakázku v zadávacím řízení neabsentovala (v zadávacím řízení by bylo vícero </w:t>
            </w:r>
            <w:r w:rsidRPr="003A5758">
              <w:rPr>
                <w:rFonts w:cstheme="minorHAnsi"/>
                <w:bCs/>
                <w:sz w:val="20"/>
                <w:szCs w:val="20"/>
              </w:rPr>
              <w:lastRenderedPageBreak/>
              <w:t>účastníků). V zadávacím řízení s jedním účastníkem nebude tím pádem také prováděno hodnocení nabídek – kvalitativní prvek plnění veřejné zakázky a s ním spojená problematika hodnocení kvalitativních prvků nabídky účastníků je pro zadavatele klíčovým prvkem a podstatou celého předmětného zadávacího řízení na veřejnou zakázku.</w:t>
            </w:r>
          </w:p>
          <w:p w14:paraId="5B7233A5" w14:textId="356454CB" w:rsidR="00EB11B4" w:rsidRPr="003A5758" w:rsidRDefault="003A5758" w:rsidP="00906C69">
            <w:pPr>
              <w:spacing w:line="276" w:lineRule="auto"/>
              <w:jc w:val="both"/>
              <w:rPr>
                <w:rStyle w:val="PromnnHTML"/>
                <w:rFonts w:cstheme="minorHAnsi"/>
                <w:bCs/>
                <w:i w:val="0"/>
                <w:iCs w:val="0"/>
                <w:sz w:val="20"/>
                <w:szCs w:val="20"/>
              </w:rPr>
            </w:pPr>
            <w:r w:rsidRPr="003A5758">
              <w:rPr>
                <w:rFonts w:cstheme="minorHAnsi"/>
                <w:bCs/>
                <w:sz w:val="20"/>
                <w:szCs w:val="20"/>
              </w:rPr>
              <w:t>Na základě výše uvedených důvodů zadavatel rozhodl o zrušení zadávacího řízení na veřejnou zakázku.</w:t>
            </w:r>
          </w:p>
        </w:tc>
      </w:tr>
      <w:tr w:rsidR="00EB11B4" w:rsidRPr="003D3D98" w14:paraId="08C96CC2" w14:textId="77777777" w:rsidTr="00BB0A08">
        <w:tc>
          <w:tcPr>
            <w:tcW w:w="9062" w:type="dxa"/>
            <w:shd w:val="clear" w:color="auto" w:fill="E7E6E6" w:themeFill="background2"/>
          </w:tcPr>
          <w:p w14:paraId="36196F23" w14:textId="2B374B2F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lastRenderedPageBreak/>
              <w:t>k)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použití jiných komunikačních prostředků při podání nabídky namísto elektronických prostředků, byly-li jiné prostředky použity</w:t>
            </w:r>
          </w:p>
        </w:tc>
      </w:tr>
      <w:tr w:rsidR="00EB11B4" w:rsidRPr="003D3D98" w14:paraId="59BA739E" w14:textId="77777777" w:rsidTr="009A7238">
        <w:tc>
          <w:tcPr>
            <w:tcW w:w="9062" w:type="dxa"/>
          </w:tcPr>
          <w:p w14:paraId="325DF631" w14:textId="36C0F445" w:rsidR="00EB11B4" w:rsidRPr="003D3D98" w:rsidRDefault="003D3D98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Neuplatní</w:t>
            </w:r>
            <w:r w:rsidR="000D22D2">
              <w:rPr>
                <w:rStyle w:val="PromnnHTML"/>
                <w:rFonts w:cstheme="minorHAnsi"/>
                <w:sz w:val="20"/>
                <w:szCs w:val="20"/>
              </w:rPr>
              <w:t xml:space="preserve"> se</w:t>
            </w:r>
            <w:r w:rsidRPr="003D3D98">
              <w:rPr>
                <w:rStyle w:val="PromnnHTML"/>
                <w:rFonts w:cstheme="minorHAnsi"/>
                <w:sz w:val="20"/>
                <w:szCs w:val="20"/>
              </w:rPr>
              <w:t>, nebylo použito, byly použity elektronické prostředky pro podání nabídky</w:t>
            </w:r>
          </w:p>
        </w:tc>
      </w:tr>
      <w:tr w:rsidR="00EB11B4" w:rsidRPr="003D3D98" w14:paraId="49D8B588" w14:textId="77777777" w:rsidTr="00BB0A08">
        <w:tc>
          <w:tcPr>
            <w:tcW w:w="9062" w:type="dxa"/>
            <w:shd w:val="clear" w:color="auto" w:fill="E7E6E6" w:themeFill="background2"/>
          </w:tcPr>
          <w:p w14:paraId="60F2489E" w14:textId="034C17DB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l)</w:t>
            </w:r>
            <w:r w:rsidRPr="003D3D98">
              <w:rPr>
                <w:rFonts w:cstheme="minorHAnsi"/>
                <w:sz w:val="20"/>
                <w:szCs w:val="20"/>
              </w:rPr>
              <w:t xml:space="preserve"> soupis osob, u kterých byl zjištěn střet zájmů, a následně přijatých opatření, byl-li střet zájmů zjištěn</w:t>
            </w:r>
          </w:p>
        </w:tc>
      </w:tr>
      <w:tr w:rsidR="00EB11B4" w:rsidRPr="003D3D98" w14:paraId="68F3EB95" w14:textId="77777777" w:rsidTr="009A7238">
        <w:tc>
          <w:tcPr>
            <w:tcW w:w="9062" w:type="dxa"/>
          </w:tcPr>
          <w:p w14:paraId="19B8FDF9" w14:textId="375E7C57" w:rsidR="00EB11B4" w:rsidRPr="003D3D98" w:rsidRDefault="00212C27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Neuplatní se</w:t>
            </w:r>
            <w:r w:rsidR="003D3D98" w:rsidRPr="003D3D98">
              <w:rPr>
                <w:rStyle w:val="PromnnHTML"/>
                <w:rFonts w:cstheme="minorHAnsi"/>
                <w:sz w:val="20"/>
                <w:szCs w:val="20"/>
              </w:rPr>
              <w:t>, nebyl zjištěn střet zájmů u žádné osoby</w:t>
            </w:r>
          </w:p>
        </w:tc>
      </w:tr>
      <w:tr w:rsidR="00EB11B4" w:rsidRPr="003D3D98" w14:paraId="03A39580" w14:textId="77777777" w:rsidTr="00BB0A08">
        <w:tc>
          <w:tcPr>
            <w:tcW w:w="9062" w:type="dxa"/>
            <w:shd w:val="clear" w:color="auto" w:fill="E7E6E6" w:themeFill="background2"/>
          </w:tcPr>
          <w:p w14:paraId="70A1A0D2" w14:textId="193BCE81" w:rsidR="00EB11B4" w:rsidRPr="003D3D98" w:rsidRDefault="00EB11B4" w:rsidP="003D3D98">
            <w:pPr>
              <w:spacing w:after="120"/>
              <w:rPr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m)</w:t>
            </w:r>
            <w:r w:rsidRPr="003D3D98">
              <w:rPr>
                <w:rFonts w:cstheme="minorHAnsi"/>
                <w:sz w:val="20"/>
                <w:szCs w:val="20"/>
              </w:rPr>
              <w:t xml:space="preserve"> pokud zadavatel nadlimitní veřejnou zakázku nerozdělí na části, uvede zadavatel odůvodnění tohoto postupu, pokud je neuvedl v zadávací dokumentaci</w:t>
            </w:r>
          </w:p>
        </w:tc>
      </w:tr>
      <w:tr w:rsidR="00EB11B4" w:rsidRPr="003D3D98" w14:paraId="79E0A20B" w14:textId="77777777" w:rsidTr="009A7238">
        <w:tc>
          <w:tcPr>
            <w:tcW w:w="9062" w:type="dxa"/>
          </w:tcPr>
          <w:p w14:paraId="35AAF0B2" w14:textId="3AB37FBD" w:rsidR="003D3D98" w:rsidRPr="0044147D" w:rsidRDefault="00DE4F95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>
              <w:rPr>
                <w:rStyle w:val="PromnnHTML"/>
                <w:rFonts w:cstheme="minorHAnsi"/>
                <w:sz w:val="20"/>
                <w:szCs w:val="20"/>
              </w:rPr>
              <w:t xml:space="preserve">Informace uvedené v zadávací dokumentaci </w:t>
            </w:r>
          </w:p>
        </w:tc>
      </w:tr>
      <w:tr w:rsidR="00EB11B4" w:rsidRPr="003D3D98" w14:paraId="04292916" w14:textId="77777777" w:rsidTr="00BB0A08">
        <w:tc>
          <w:tcPr>
            <w:tcW w:w="9062" w:type="dxa"/>
            <w:shd w:val="clear" w:color="auto" w:fill="E7E6E6" w:themeFill="background2"/>
          </w:tcPr>
          <w:p w14:paraId="39B587D8" w14:textId="266DE935" w:rsidR="00EB11B4" w:rsidRPr="003D3D98" w:rsidRDefault="00EB11B4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 w:rsidRPr="003D3D98">
              <w:rPr>
                <w:rStyle w:val="PromnnHTML"/>
                <w:rFonts w:cstheme="minorHAnsi"/>
                <w:sz w:val="20"/>
                <w:szCs w:val="20"/>
              </w:rPr>
              <w:t>n)</w:t>
            </w:r>
            <w:r w:rsidRPr="003D3D98">
              <w:rPr>
                <w:rFonts w:cstheme="minorHAnsi"/>
                <w:sz w:val="20"/>
                <w:szCs w:val="20"/>
              </w:rPr>
              <w:t xml:space="preserve"> odůvodnění stanovení požadavku na prokázání obratu v případě postupu podle § 78 odst. 3, pokud je neuvedl v zadávací dokumentaci</w:t>
            </w:r>
          </w:p>
        </w:tc>
      </w:tr>
      <w:tr w:rsidR="00EB11B4" w:rsidRPr="003D3D98" w14:paraId="0F97F32C" w14:textId="77777777" w:rsidTr="00E30499">
        <w:trPr>
          <w:trHeight w:val="78"/>
        </w:trPr>
        <w:tc>
          <w:tcPr>
            <w:tcW w:w="9062" w:type="dxa"/>
          </w:tcPr>
          <w:p w14:paraId="3A19ECA3" w14:textId="51A34D0E" w:rsidR="00EB11B4" w:rsidRPr="003D3D98" w:rsidRDefault="00C245D9" w:rsidP="003D3D98">
            <w:pPr>
              <w:spacing w:after="120"/>
              <w:rPr>
                <w:rStyle w:val="PromnnHTML"/>
                <w:rFonts w:cstheme="minorHAnsi"/>
                <w:sz w:val="20"/>
                <w:szCs w:val="20"/>
              </w:rPr>
            </w:pPr>
            <w:r>
              <w:rPr>
                <w:rStyle w:val="PromnnHTML"/>
                <w:rFonts w:cstheme="minorHAnsi"/>
                <w:sz w:val="20"/>
                <w:szCs w:val="20"/>
              </w:rPr>
              <w:t>N</w:t>
            </w:r>
            <w:r w:rsidR="00EB11B4" w:rsidRPr="003D3D98">
              <w:rPr>
                <w:rStyle w:val="PromnnHTML"/>
                <w:rFonts w:cstheme="minorHAnsi"/>
                <w:sz w:val="20"/>
                <w:szCs w:val="20"/>
              </w:rPr>
              <w:t>euplatní se</w:t>
            </w:r>
            <w:r w:rsidR="00494D53">
              <w:rPr>
                <w:rStyle w:val="PromnnHTML"/>
                <w:rFonts w:cstheme="minorHAnsi"/>
                <w:sz w:val="20"/>
                <w:szCs w:val="20"/>
              </w:rPr>
              <w:t>, nebylo stanoveno</w:t>
            </w:r>
          </w:p>
        </w:tc>
      </w:tr>
    </w:tbl>
    <w:p w14:paraId="6A593E6F" w14:textId="72E5EC3C" w:rsidR="00AD15D1" w:rsidRPr="00B85D44" w:rsidRDefault="00AD15D1" w:rsidP="00DE4F95">
      <w:pPr>
        <w:rPr>
          <w:rFonts w:cstheme="minorHAnsi"/>
        </w:rPr>
      </w:pPr>
    </w:p>
    <w:sectPr w:rsidR="00AD15D1" w:rsidRPr="00B85D44" w:rsidSect="00C50928">
      <w:headerReference w:type="default" r:id="rId7"/>
      <w:footerReference w:type="default" r:id="rId8"/>
      <w:pgSz w:w="11906" w:h="16838"/>
      <w:pgMar w:top="1417" w:right="1417" w:bottom="1417" w:left="1417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4558E7" w14:textId="77777777" w:rsidR="00237F36" w:rsidRDefault="00237F36" w:rsidP="009A7238">
      <w:pPr>
        <w:spacing w:after="0" w:line="240" w:lineRule="auto"/>
      </w:pPr>
      <w:r>
        <w:separator/>
      </w:r>
    </w:p>
  </w:endnote>
  <w:endnote w:type="continuationSeparator" w:id="0">
    <w:p w14:paraId="0C98F5DC" w14:textId="77777777" w:rsidR="00237F36" w:rsidRDefault="00237F36" w:rsidP="009A7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0"/>
        <w:szCs w:val="20"/>
      </w:rPr>
      <w:id w:val="-372158280"/>
      <w:docPartObj>
        <w:docPartGallery w:val="Page Numbers (Bottom of Page)"/>
        <w:docPartUnique/>
      </w:docPartObj>
    </w:sdtPr>
    <w:sdtContent>
      <w:sdt>
        <w:sdtPr>
          <w:rPr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24A68F5D" w14:textId="035DFFB6" w:rsidR="00B814A6" w:rsidRPr="0038174D" w:rsidRDefault="0038174D" w:rsidP="0038174D">
            <w:pPr>
              <w:pStyle w:val="Zpat"/>
              <w:jc w:val="center"/>
              <w:rPr>
                <w:sz w:val="20"/>
                <w:szCs w:val="20"/>
              </w:rPr>
            </w:pPr>
            <w:r w:rsidRPr="0038174D">
              <w:rPr>
                <w:sz w:val="20"/>
                <w:szCs w:val="20"/>
              </w:rPr>
              <w:t xml:space="preserve">Stránka </w:t>
            </w:r>
            <w:r w:rsidRPr="0038174D">
              <w:rPr>
                <w:sz w:val="20"/>
                <w:szCs w:val="20"/>
              </w:rPr>
              <w:fldChar w:fldCharType="begin"/>
            </w:r>
            <w:r w:rsidRPr="0038174D">
              <w:rPr>
                <w:sz w:val="20"/>
                <w:szCs w:val="20"/>
              </w:rPr>
              <w:instrText>PAGE</w:instrText>
            </w:r>
            <w:r w:rsidRPr="0038174D">
              <w:rPr>
                <w:sz w:val="20"/>
                <w:szCs w:val="20"/>
              </w:rPr>
              <w:fldChar w:fldCharType="separate"/>
            </w:r>
            <w:r w:rsidRPr="0038174D">
              <w:rPr>
                <w:sz w:val="20"/>
                <w:szCs w:val="20"/>
              </w:rPr>
              <w:t>2</w:t>
            </w:r>
            <w:r w:rsidRPr="0038174D">
              <w:rPr>
                <w:sz w:val="20"/>
                <w:szCs w:val="20"/>
              </w:rPr>
              <w:fldChar w:fldCharType="end"/>
            </w:r>
            <w:r w:rsidRPr="0038174D">
              <w:rPr>
                <w:sz w:val="20"/>
                <w:szCs w:val="20"/>
              </w:rPr>
              <w:t xml:space="preserve"> z </w:t>
            </w:r>
            <w:r w:rsidRPr="0038174D">
              <w:rPr>
                <w:sz w:val="20"/>
                <w:szCs w:val="20"/>
              </w:rPr>
              <w:fldChar w:fldCharType="begin"/>
            </w:r>
            <w:r w:rsidRPr="0038174D">
              <w:rPr>
                <w:sz w:val="20"/>
                <w:szCs w:val="20"/>
              </w:rPr>
              <w:instrText>NUMPAGES</w:instrText>
            </w:r>
            <w:r w:rsidRPr="0038174D">
              <w:rPr>
                <w:sz w:val="20"/>
                <w:szCs w:val="20"/>
              </w:rPr>
              <w:fldChar w:fldCharType="separate"/>
            </w:r>
            <w:r w:rsidRPr="0038174D">
              <w:rPr>
                <w:sz w:val="20"/>
                <w:szCs w:val="20"/>
              </w:rPr>
              <w:t>2</w:t>
            </w:r>
            <w:r w:rsidRPr="0038174D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159952" w14:textId="77777777" w:rsidR="00237F36" w:rsidRDefault="00237F36" w:rsidP="009A7238">
      <w:pPr>
        <w:spacing w:after="0" w:line="240" w:lineRule="auto"/>
      </w:pPr>
      <w:r>
        <w:separator/>
      </w:r>
    </w:p>
  </w:footnote>
  <w:footnote w:type="continuationSeparator" w:id="0">
    <w:p w14:paraId="52471084" w14:textId="77777777" w:rsidR="00237F36" w:rsidRDefault="00237F36" w:rsidP="009A7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7D1830" w14:textId="053FA94C" w:rsidR="00C50928" w:rsidRPr="00C50928" w:rsidRDefault="00C50928" w:rsidP="00C50928">
    <w:pPr>
      <w:pStyle w:val="Zhlav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64E79FC" wp14:editId="33F02E3C">
          <wp:simplePos x="0" y="0"/>
          <wp:positionH relativeFrom="column">
            <wp:posOffset>4205605</wp:posOffset>
          </wp:positionH>
          <wp:positionV relativeFrom="paragraph">
            <wp:posOffset>336448</wp:posOffset>
          </wp:positionV>
          <wp:extent cx="2169795" cy="170180"/>
          <wp:effectExtent l="0" t="0" r="1905" b="1270"/>
          <wp:wrapNone/>
          <wp:docPr id="1537896538" name="Obrázek 1537896538" descr="A4_LOGO14mm_top_text0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ázek 7" descr="A4_LOGO14mm_top_text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B8E"/>
    <w:multiLevelType w:val="hybridMultilevel"/>
    <w:tmpl w:val="6A4C48D2"/>
    <w:lvl w:ilvl="0" w:tplc="04050019">
      <w:start w:val="1"/>
      <w:numFmt w:val="lowerLetter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FB3712C"/>
    <w:multiLevelType w:val="hybridMultilevel"/>
    <w:tmpl w:val="2A8A7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90FAB"/>
    <w:multiLevelType w:val="hybridMultilevel"/>
    <w:tmpl w:val="2A8A7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802A8B"/>
    <w:multiLevelType w:val="hybridMultilevel"/>
    <w:tmpl w:val="B844B23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132BF5"/>
    <w:multiLevelType w:val="multilevel"/>
    <w:tmpl w:val="1BCE25E4"/>
    <w:lvl w:ilvl="0">
      <w:start w:val="1"/>
      <w:numFmt w:val="decimal"/>
      <w:pStyle w:val="Nadpis1"/>
      <w:lvlText w:val="%1."/>
      <w:lvlJc w:val="left"/>
      <w:pPr>
        <w:ind w:left="4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97" w:hanging="360"/>
      </w:pPr>
      <w:rPr>
        <w:rFonts w:hint="default"/>
      </w:rPr>
    </w:lvl>
    <w:lvl w:ilvl="2">
      <w:start w:val="1"/>
      <w:numFmt w:val="decimal"/>
      <w:isLgl/>
      <w:lvlText w:val="%3)"/>
      <w:lvlJc w:val="left"/>
      <w:pPr>
        <w:ind w:left="857" w:hanging="720"/>
      </w:pPr>
      <w:rPr>
        <w:rFonts w:asciiTheme="minorHAnsi" w:eastAsia="Times New Roman" w:hAnsiTheme="minorHAnsi" w:cstheme="minorHAnsi"/>
        <w:b w:val="0"/>
      </w:rPr>
    </w:lvl>
    <w:lvl w:ilvl="3">
      <w:start w:val="1"/>
      <w:numFmt w:val="decimal"/>
      <w:isLgl/>
      <w:lvlText w:val="%4)"/>
      <w:lvlJc w:val="left"/>
      <w:pPr>
        <w:ind w:left="857" w:hanging="720"/>
      </w:pPr>
      <w:rPr>
        <w:rFonts w:ascii="Calibri" w:eastAsia="Times New Roman" w:hAnsi="Calibri" w:cs="Calibri"/>
        <w:b w:val="0"/>
      </w:rPr>
    </w:lvl>
    <w:lvl w:ilvl="4">
      <w:start w:val="1"/>
      <w:numFmt w:val="lowerLetter"/>
      <w:lvlText w:val="%5)"/>
      <w:lvlJc w:val="left"/>
      <w:pPr>
        <w:ind w:left="1217" w:hanging="1080"/>
      </w:pPr>
    </w:lvl>
    <w:lvl w:ilvl="5">
      <w:start w:val="1"/>
      <w:numFmt w:val="upperRoman"/>
      <w:lvlText w:val="%6."/>
      <w:lvlJc w:val="right"/>
      <w:pPr>
        <w:ind w:left="1217" w:hanging="1080"/>
      </w:pPr>
      <w:rPr>
        <w:b w:val="0"/>
        <w:sz w:val="24"/>
        <w:szCs w:val="24"/>
      </w:rPr>
    </w:lvl>
    <w:lvl w:ilvl="6">
      <w:start w:val="1"/>
      <w:numFmt w:val="decimal"/>
      <w:isLgl/>
      <w:lvlText w:val="%1.%2.%3.%4.%5.%6.%7."/>
      <w:lvlJc w:val="left"/>
      <w:pPr>
        <w:ind w:left="15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37" w:hanging="1800"/>
      </w:pPr>
      <w:rPr>
        <w:rFonts w:hint="default"/>
      </w:rPr>
    </w:lvl>
  </w:abstractNum>
  <w:abstractNum w:abstractNumId="5" w15:restartNumberingAfterBreak="0">
    <w:nsid w:val="3DAA512C"/>
    <w:multiLevelType w:val="hybridMultilevel"/>
    <w:tmpl w:val="AC525590"/>
    <w:lvl w:ilvl="0" w:tplc="974CBC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8B14E2"/>
    <w:multiLevelType w:val="hybridMultilevel"/>
    <w:tmpl w:val="6B449B72"/>
    <w:lvl w:ilvl="0" w:tplc="12B40328">
      <w:numFmt w:val="bullet"/>
      <w:lvlText w:val="-"/>
      <w:lvlJc w:val="left"/>
      <w:pPr>
        <w:ind w:left="1070" w:hanging="71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5220010">
    <w:abstractNumId w:val="1"/>
  </w:num>
  <w:num w:numId="2" w16cid:durableId="924609038">
    <w:abstractNumId w:val="2"/>
  </w:num>
  <w:num w:numId="3" w16cid:durableId="1806578057">
    <w:abstractNumId w:val="4"/>
  </w:num>
  <w:num w:numId="4" w16cid:durableId="1609850068">
    <w:abstractNumId w:val="5"/>
  </w:num>
  <w:num w:numId="5" w16cid:durableId="1092317973">
    <w:abstractNumId w:val="6"/>
  </w:num>
  <w:num w:numId="6" w16cid:durableId="742946369">
    <w:abstractNumId w:val="0"/>
  </w:num>
  <w:num w:numId="7" w16cid:durableId="4695913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238"/>
    <w:rsid w:val="000D22D2"/>
    <w:rsid w:val="000F68BF"/>
    <w:rsid w:val="00107176"/>
    <w:rsid w:val="00157BDF"/>
    <w:rsid w:val="00165450"/>
    <w:rsid w:val="001714AF"/>
    <w:rsid w:val="001A5E5A"/>
    <w:rsid w:val="001D32EE"/>
    <w:rsid w:val="001E250B"/>
    <w:rsid w:val="00212C27"/>
    <w:rsid w:val="00221357"/>
    <w:rsid w:val="00221A1C"/>
    <w:rsid w:val="002229EE"/>
    <w:rsid w:val="00233DC5"/>
    <w:rsid w:val="00237F36"/>
    <w:rsid w:val="0028292C"/>
    <w:rsid w:val="002B601C"/>
    <w:rsid w:val="002D5B35"/>
    <w:rsid w:val="003029C7"/>
    <w:rsid w:val="00347AF5"/>
    <w:rsid w:val="003621E6"/>
    <w:rsid w:val="0038174D"/>
    <w:rsid w:val="00390D24"/>
    <w:rsid w:val="003A38B6"/>
    <w:rsid w:val="003A5758"/>
    <w:rsid w:val="003C6EF5"/>
    <w:rsid w:val="003D3D98"/>
    <w:rsid w:val="0044147D"/>
    <w:rsid w:val="00494D53"/>
    <w:rsid w:val="004E0E92"/>
    <w:rsid w:val="005530EF"/>
    <w:rsid w:val="006562AA"/>
    <w:rsid w:val="00656377"/>
    <w:rsid w:val="00665B68"/>
    <w:rsid w:val="0067431B"/>
    <w:rsid w:val="00696BAB"/>
    <w:rsid w:val="006A0AA8"/>
    <w:rsid w:val="006A69A8"/>
    <w:rsid w:val="006C0E0E"/>
    <w:rsid w:val="006D6738"/>
    <w:rsid w:val="00722FEA"/>
    <w:rsid w:val="007417EE"/>
    <w:rsid w:val="007555D1"/>
    <w:rsid w:val="00776365"/>
    <w:rsid w:val="00846E40"/>
    <w:rsid w:val="0086568D"/>
    <w:rsid w:val="0087741F"/>
    <w:rsid w:val="008950F5"/>
    <w:rsid w:val="008D2631"/>
    <w:rsid w:val="008E78CE"/>
    <w:rsid w:val="008F0897"/>
    <w:rsid w:val="00906C69"/>
    <w:rsid w:val="00914633"/>
    <w:rsid w:val="00934BA8"/>
    <w:rsid w:val="009467BD"/>
    <w:rsid w:val="00967B47"/>
    <w:rsid w:val="00980AB3"/>
    <w:rsid w:val="009A7238"/>
    <w:rsid w:val="009C7EDE"/>
    <w:rsid w:val="009E18F9"/>
    <w:rsid w:val="009E2B07"/>
    <w:rsid w:val="009F4B83"/>
    <w:rsid w:val="00A02C4E"/>
    <w:rsid w:val="00A30EC8"/>
    <w:rsid w:val="00A455ED"/>
    <w:rsid w:val="00A83888"/>
    <w:rsid w:val="00A91AA7"/>
    <w:rsid w:val="00A94168"/>
    <w:rsid w:val="00AD06D6"/>
    <w:rsid w:val="00AD15D1"/>
    <w:rsid w:val="00AE173B"/>
    <w:rsid w:val="00B138FB"/>
    <w:rsid w:val="00B34158"/>
    <w:rsid w:val="00B44FF7"/>
    <w:rsid w:val="00B5204A"/>
    <w:rsid w:val="00B814A6"/>
    <w:rsid w:val="00B8336D"/>
    <w:rsid w:val="00B85D44"/>
    <w:rsid w:val="00BB0A08"/>
    <w:rsid w:val="00BC38F3"/>
    <w:rsid w:val="00BF5FEF"/>
    <w:rsid w:val="00C245D9"/>
    <w:rsid w:val="00C50928"/>
    <w:rsid w:val="00C54EE1"/>
    <w:rsid w:val="00CA75DA"/>
    <w:rsid w:val="00CF1C6E"/>
    <w:rsid w:val="00D37CAE"/>
    <w:rsid w:val="00D43B1E"/>
    <w:rsid w:val="00D60638"/>
    <w:rsid w:val="00D664B4"/>
    <w:rsid w:val="00D86F1A"/>
    <w:rsid w:val="00DB60DB"/>
    <w:rsid w:val="00DD53AB"/>
    <w:rsid w:val="00DE4F95"/>
    <w:rsid w:val="00E16241"/>
    <w:rsid w:val="00E30499"/>
    <w:rsid w:val="00E359CE"/>
    <w:rsid w:val="00E3766E"/>
    <w:rsid w:val="00E5693B"/>
    <w:rsid w:val="00E6166C"/>
    <w:rsid w:val="00E66B40"/>
    <w:rsid w:val="00E6782A"/>
    <w:rsid w:val="00E97935"/>
    <w:rsid w:val="00EB11B4"/>
    <w:rsid w:val="00EC2A91"/>
    <w:rsid w:val="00ED23EC"/>
    <w:rsid w:val="00EE0DCD"/>
    <w:rsid w:val="00F0669F"/>
    <w:rsid w:val="00F2289D"/>
    <w:rsid w:val="00F3234E"/>
    <w:rsid w:val="00F37C03"/>
    <w:rsid w:val="00F44550"/>
    <w:rsid w:val="00F4614D"/>
    <w:rsid w:val="00F72DCC"/>
    <w:rsid w:val="00F754B1"/>
    <w:rsid w:val="00FC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6C00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autoRedefine/>
    <w:qFormat/>
    <w:rsid w:val="00E30499"/>
    <w:pPr>
      <w:keepNext/>
      <w:numPr>
        <w:numId w:val="3"/>
      </w:numPr>
      <w:pBdr>
        <w:top w:val="single" w:sz="8" w:space="1" w:color="000000"/>
        <w:left w:val="single" w:sz="8" w:space="4" w:color="000000"/>
        <w:bottom w:val="single" w:sz="8" w:space="1" w:color="000000"/>
        <w:right w:val="single" w:sz="8" w:space="4" w:color="000000"/>
      </w:pBdr>
      <w:shd w:val="clear" w:color="auto" w:fill="99CCFF"/>
      <w:suppressAutoHyphens/>
      <w:spacing w:after="120" w:line="240" w:lineRule="auto"/>
      <w:ind w:left="567" w:hanging="567"/>
      <w:outlineLvl w:val="0"/>
    </w:pPr>
    <w:rPr>
      <w:rFonts w:ascii="Calibri Light" w:eastAsia="Times New Roman" w:hAnsi="Calibri Light" w:cs="Times New Roman"/>
      <w:b/>
      <w:bCs/>
      <w:kern w:val="1"/>
      <w:sz w:val="28"/>
      <w:szCs w:val="24"/>
      <w:lang w:val="x-none"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A72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romnnHTML">
    <w:name w:val="HTML Variable"/>
    <w:basedOn w:val="Standardnpsmoodstavce"/>
    <w:uiPriority w:val="99"/>
    <w:semiHidden/>
    <w:unhideWhenUsed/>
    <w:rsid w:val="009A7238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9A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238"/>
  </w:style>
  <w:style w:type="paragraph" w:styleId="Zpat">
    <w:name w:val="footer"/>
    <w:basedOn w:val="Normln"/>
    <w:link w:val="ZpatChar"/>
    <w:uiPriority w:val="99"/>
    <w:unhideWhenUsed/>
    <w:rsid w:val="009A72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238"/>
  </w:style>
  <w:style w:type="paragraph" w:styleId="Odstavecseseznamem">
    <w:name w:val="List Paragraph"/>
    <w:aliases w:val="Bullet Number,lp1,List Paragraph1,lp11,List Paragraph11,Bullet 1,Use Case List Paragraph,Odstavec_muj,Odrazky,Bullet List,Puce,Heading2,Bullet for no #'s,Body Bullet,List bullet,List Paragraph 1,Ref,List Bullet1,Figure_name,Nad"/>
    <w:basedOn w:val="Normln"/>
    <w:link w:val="OdstavecseseznamemChar"/>
    <w:uiPriority w:val="34"/>
    <w:qFormat/>
    <w:rsid w:val="009A7238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E30499"/>
    <w:rPr>
      <w:rFonts w:ascii="Calibri Light" w:eastAsia="Times New Roman" w:hAnsi="Calibri Light" w:cs="Times New Roman"/>
      <w:b/>
      <w:bCs/>
      <w:kern w:val="1"/>
      <w:sz w:val="28"/>
      <w:szCs w:val="24"/>
      <w:shd w:val="clear" w:color="auto" w:fill="99CCFF"/>
      <w:lang w:val="x-none"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E97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97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97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97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9793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979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7935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229E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velkytext">
    <w:name w:val="velkytext"/>
    <w:basedOn w:val="Standardnpsmoodstavce"/>
    <w:rsid w:val="00212C27"/>
  </w:style>
  <w:style w:type="character" w:customStyle="1" w:styleId="OdstavecseseznamemChar">
    <w:name w:val="Odstavec se seznamem Char"/>
    <w:aliases w:val="Bullet Number Char,lp1 Char,List Paragraph1 Char,lp11 Char,List Paragraph11 Char,Bullet 1 Char,Use Case List Paragraph Char,Odstavec_muj Char,Odrazky Char,Bullet List Char,Puce Char,Heading2 Char,Bullet for no #'s Char,Ref Char"/>
    <w:link w:val="Odstavecseseznamem"/>
    <w:uiPriority w:val="34"/>
    <w:rsid w:val="00F72D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6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1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0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1235</Words>
  <Characters>7289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2023-06-16T04:14:00Z</dcterms:created>
  <dcterms:modified xsi:type="dcterms:W3CDTF">2023-06-16T04:14:00Z</dcterms:modified>
</cp:coreProperties>
</file>