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2BED0649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>„</w:t>
      </w:r>
      <w:r w:rsidR="00BF4886" w:rsidRPr="00BF4886">
        <w:rPr>
          <w:rFonts w:ascii="Calibri" w:hAnsi="Calibri" w:cs="Calibri"/>
          <w:b/>
          <w:sz w:val="22"/>
          <w:szCs w:val="20"/>
          <w:lang w:val="cs-CZ"/>
        </w:rPr>
        <w:t xml:space="preserve">Rozvoj </w:t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>vodíkové mobility v Ostravě, 1. etapa</w:t>
      </w:r>
      <w:r w:rsidR="00370338">
        <w:rPr>
          <w:rFonts w:ascii="Calibri" w:hAnsi="Calibri" w:cs="Calibri"/>
          <w:b/>
          <w:sz w:val="22"/>
          <w:szCs w:val="22"/>
          <w:lang w:val="cs-CZ"/>
        </w:rPr>
        <w:t xml:space="preserve"> – opakované zadání</w:t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 xml:space="preserve"> - </w:t>
      </w:r>
      <w:r w:rsidR="001473DD">
        <w:rPr>
          <w:rFonts w:ascii="Calibri" w:hAnsi="Calibri" w:cs="Calibri"/>
          <w:b/>
          <w:sz w:val="22"/>
          <w:szCs w:val="22"/>
          <w:lang w:val="cs-CZ"/>
        </w:rPr>
        <w:t>technologická</w:t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 xml:space="preserve"> část“ 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7BD7AB26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AD231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75339FCA" w:rsidR="00EB789C" w:rsidRPr="009C5AFF" w:rsidRDefault="00EB789C" w:rsidP="000B3A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692B3A" w:rsidRPr="00692B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na pozici „stavbyvedoucí“, „specialista na technologická zařízení staveb“ či na jiné obdobné pozici, spočívající v řízení či kontrole stavebních </w:t>
            </w:r>
            <w:r w:rsidR="00692B3A" w:rsidRPr="00692B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prací zahrnujících technologická zařízení staveb, a to minimálně na 1 zakázce, jejímž předmětem byla dodávka a instalace technologie pro výrobu nebo distribuci CNG nebo vodíku nebo jiných technických plynů, přičemž hodnota takto vymezeného plněn</w:t>
            </w:r>
            <w:r w:rsidR="000B3A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í (tedy hodnota připadající na dodávku </w:t>
            </w:r>
            <w:r w:rsidR="00692B3A" w:rsidRPr="00692B3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a instalaci technologie a práce s tímto přímo související) byla v min. výši 25 mil. Kč bez DPH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7D708AA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2468F89F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616F4181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62B25FA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15F5B" w:rsidRPr="00CE666F" w14:paraId="5C1C654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2670F4" w14:textId="77777777" w:rsidR="00215F5B" w:rsidRPr="009C5AFF" w:rsidRDefault="00215F5B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8C81887" w14:textId="33FC1E1A" w:rsidR="00215F5B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61F5B8" w14:textId="1206AC91" w:rsidR="00215F5B" w:rsidRPr="009C5AFF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76801AF3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Hodnota </w:t>
            </w:r>
            <w:r w:rsidR="001473DD" w:rsidRPr="000B3AD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vymezeného plnění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1AE2FE0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D616043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659FC697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280AE6F9" w:rsidR="004D1CEA" w:rsidRPr="00CE666F" w:rsidRDefault="00692B3A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234A18D8" w:rsidR="004D1CEA" w:rsidRPr="009C5AFF" w:rsidRDefault="004039AB" w:rsidP="000B3A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AA20" w14:textId="77777777" w:rsidR="003737D5" w:rsidRDefault="003737D5" w:rsidP="005C3DDD">
      <w:r>
        <w:separator/>
      </w:r>
    </w:p>
  </w:endnote>
  <w:endnote w:type="continuationSeparator" w:id="0">
    <w:p w14:paraId="1014A92F" w14:textId="77777777" w:rsidR="003737D5" w:rsidRDefault="003737D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8" w14:textId="18F80F7E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B3ADF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0B3ADF">
      <w:rPr>
        <w:rFonts w:ascii="Times New Roman" w:hAnsi="Times New Roman"/>
        <w:i/>
        <w:noProof/>
        <w:sz w:val="22"/>
        <w:szCs w:val="22"/>
      </w:rPr>
      <w:t>3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F461" w14:textId="77777777" w:rsidR="003737D5" w:rsidRDefault="003737D5" w:rsidP="005C3DDD">
      <w:r>
        <w:separator/>
      </w:r>
    </w:p>
  </w:footnote>
  <w:footnote w:type="continuationSeparator" w:id="0">
    <w:p w14:paraId="5E4DE7C7" w14:textId="77777777" w:rsidR="003737D5" w:rsidRDefault="003737D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4" w14:textId="5DF22E18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="001473DD">
      <w:rPr>
        <w:rStyle w:val="ACNormlnChar"/>
        <w:rFonts w:asciiTheme="minorHAnsi" w:hAnsiTheme="minorHAnsi" w:cstheme="minorHAnsi"/>
        <w:i/>
      </w:rPr>
      <w:t>b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  <w:r w:rsidR="00F37BEF">
      <w:rPr>
        <w:rStyle w:val="ACNormlnChar"/>
        <w:rFonts w:asciiTheme="minorHAnsi" w:hAnsiTheme="minorHAnsi" w:cstheme="minorHAnsi"/>
        <w:i/>
      </w:rPr>
      <w:t xml:space="preserve"> pro část </w:t>
    </w:r>
    <w:r w:rsidR="001473DD">
      <w:rPr>
        <w:rStyle w:val="ACNormlnChar"/>
        <w:rFonts w:asciiTheme="minorHAnsi" w:hAnsiTheme="minorHAnsi" w:cstheme="minorHAnsi"/>
        <w:i/>
      </w:rPr>
      <w:t>2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575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A9"/>
    <w:rsid w:val="00007186"/>
    <w:rsid w:val="00012278"/>
    <w:rsid w:val="000157BC"/>
    <w:rsid w:val="00024B61"/>
    <w:rsid w:val="000568C0"/>
    <w:rsid w:val="00074F27"/>
    <w:rsid w:val="000A3556"/>
    <w:rsid w:val="000A371D"/>
    <w:rsid w:val="000B3ADF"/>
    <w:rsid w:val="000C0DAE"/>
    <w:rsid w:val="000C2870"/>
    <w:rsid w:val="000E695A"/>
    <w:rsid w:val="00102D5F"/>
    <w:rsid w:val="0010706B"/>
    <w:rsid w:val="00107AE9"/>
    <w:rsid w:val="00121EF3"/>
    <w:rsid w:val="001473DD"/>
    <w:rsid w:val="001765C1"/>
    <w:rsid w:val="001C32A3"/>
    <w:rsid w:val="001D10E8"/>
    <w:rsid w:val="001D6E20"/>
    <w:rsid w:val="001E3E57"/>
    <w:rsid w:val="00215F5B"/>
    <w:rsid w:val="0023347F"/>
    <w:rsid w:val="002336CD"/>
    <w:rsid w:val="00235E7B"/>
    <w:rsid w:val="002421D1"/>
    <w:rsid w:val="00245F4D"/>
    <w:rsid w:val="00245FCD"/>
    <w:rsid w:val="002533E2"/>
    <w:rsid w:val="00296BCE"/>
    <w:rsid w:val="002C75B6"/>
    <w:rsid w:val="002E6DEF"/>
    <w:rsid w:val="003022E8"/>
    <w:rsid w:val="00317988"/>
    <w:rsid w:val="00323287"/>
    <w:rsid w:val="003320E6"/>
    <w:rsid w:val="00362CC5"/>
    <w:rsid w:val="00370338"/>
    <w:rsid w:val="003737D5"/>
    <w:rsid w:val="0038713C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692D"/>
    <w:rsid w:val="004A735D"/>
    <w:rsid w:val="004C715F"/>
    <w:rsid w:val="004D1CEA"/>
    <w:rsid w:val="004D1D9E"/>
    <w:rsid w:val="00514868"/>
    <w:rsid w:val="005226C2"/>
    <w:rsid w:val="0052395B"/>
    <w:rsid w:val="0052668D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2B3A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72F2A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74157"/>
    <w:rsid w:val="0088366A"/>
    <w:rsid w:val="00893FB8"/>
    <w:rsid w:val="008B6F66"/>
    <w:rsid w:val="008F3221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2374C"/>
    <w:rsid w:val="00A319E2"/>
    <w:rsid w:val="00AA2E13"/>
    <w:rsid w:val="00AB161E"/>
    <w:rsid w:val="00AD231B"/>
    <w:rsid w:val="00AE722D"/>
    <w:rsid w:val="00AF0CEA"/>
    <w:rsid w:val="00B42FA3"/>
    <w:rsid w:val="00B529C2"/>
    <w:rsid w:val="00B71E36"/>
    <w:rsid w:val="00BA65DE"/>
    <w:rsid w:val="00BD29ED"/>
    <w:rsid w:val="00BE3926"/>
    <w:rsid w:val="00BF4886"/>
    <w:rsid w:val="00BF4CB8"/>
    <w:rsid w:val="00C34838"/>
    <w:rsid w:val="00C4580C"/>
    <w:rsid w:val="00C755A0"/>
    <w:rsid w:val="00C7728B"/>
    <w:rsid w:val="00C92FD2"/>
    <w:rsid w:val="00CA172B"/>
    <w:rsid w:val="00CE666F"/>
    <w:rsid w:val="00CF7773"/>
    <w:rsid w:val="00D26610"/>
    <w:rsid w:val="00D532CC"/>
    <w:rsid w:val="00D55849"/>
    <w:rsid w:val="00D72544"/>
    <w:rsid w:val="00D75232"/>
    <w:rsid w:val="00DB568E"/>
    <w:rsid w:val="00DC6C06"/>
    <w:rsid w:val="00DC7E4A"/>
    <w:rsid w:val="00DD10E6"/>
    <w:rsid w:val="00DD32A9"/>
    <w:rsid w:val="00DD7486"/>
    <w:rsid w:val="00E0320F"/>
    <w:rsid w:val="00E0611E"/>
    <w:rsid w:val="00E14491"/>
    <w:rsid w:val="00E16817"/>
    <w:rsid w:val="00EA33F5"/>
    <w:rsid w:val="00EB789C"/>
    <w:rsid w:val="00EC212A"/>
    <w:rsid w:val="00EE0A80"/>
    <w:rsid w:val="00F37BEF"/>
    <w:rsid w:val="00F46F02"/>
    <w:rsid w:val="00F63E4B"/>
    <w:rsid w:val="00FC1B9A"/>
    <w:rsid w:val="00FD5B47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29A8-5CDC-4EA8-BE55-CE137234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2</cp:revision>
  <dcterms:created xsi:type="dcterms:W3CDTF">2023-02-27T12:04:00Z</dcterms:created>
  <dcterms:modified xsi:type="dcterms:W3CDTF">2023-02-27T12:04:00Z</dcterms:modified>
</cp:coreProperties>
</file>